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5400" w14:textId="77777777" w:rsidR="00EF75D1" w:rsidRPr="00EF75D1" w:rsidRDefault="00EF75D1" w:rsidP="00EF75D1">
      <w:pPr>
        <w:pStyle w:val="Title"/>
        <w:jc w:val="center"/>
        <w:rPr>
          <w:b/>
          <w:sz w:val="36"/>
        </w:rPr>
      </w:pPr>
      <w:r w:rsidRPr="00EF75D1">
        <w:rPr>
          <w:b/>
          <w:sz w:val="36"/>
        </w:rPr>
        <w:t xml:space="preserve">Processing </w:t>
      </w:r>
      <w:proofErr w:type="spellStart"/>
      <w:r w:rsidRPr="00EF75D1">
        <w:rPr>
          <w:b/>
          <w:sz w:val="36"/>
        </w:rPr>
        <w:t>pseudonymised</w:t>
      </w:r>
      <w:proofErr w:type="spellEnd"/>
      <w:r w:rsidRPr="00EF75D1">
        <w:rPr>
          <w:b/>
          <w:sz w:val="36"/>
        </w:rPr>
        <w:t xml:space="preserve"> data for research, statistics and archiving: Korea in the shoes of an EU Member State</w:t>
      </w:r>
    </w:p>
    <w:p w14:paraId="4B85748B" w14:textId="77777777" w:rsidR="00EF75D1" w:rsidRDefault="00EF75D1" w:rsidP="00EF75D1">
      <w:r>
        <w:t>Graham Greenleaf, Professor of Law &amp; Information Systems, UNSW Australia</w:t>
      </w:r>
    </w:p>
    <w:p w14:paraId="59D4CBBD" w14:textId="69727A58" w:rsidR="00EF75D1" w:rsidRDefault="00EF75D1" w:rsidP="00EF75D1">
      <w:r>
        <w:t xml:space="preserve">DRAFT </w:t>
      </w:r>
      <w:r w:rsidR="000D7315">
        <w:t xml:space="preserve">13 </w:t>
      </w:r>
      <w:r>
        <w:t>January 2020</w:t>
      </w:r>
    </w:p>
    <w:p w14:paraId="30B6BDF8" w14:textId="28EBDA2F" w:rsidR="004F6371" w:rsidRPr="004F6371" w:rsidRDefault="004F6371" w:rsidP="004F6371">
      <w:pPr>
        <w:rPr>
          <w:lang w:val="en-US"/>
        </w:rPr>
      </w:pPr>
      <w:r w:rsidRPr="004F6371">
        <w:rPr>
          <w:lang w:val="en-US"/>
        </w:rPr>
        <w:t xml:space="preserve">AI, Ethics &amp; Privacy - </w:t>
      </w:r>
      <w:r>
        <w:rPr>
          <w:lang w:val="en-US"/>
        </w:rPr>
        <w:t>Workshop on January 20, 2020, Korea University</w:t>
      </w:r>
      <w:r w:rsidRPr="004F6371">
        <w:rPr>
          <w:lang w:val="en-US"/>
        </w:rPr>
        <w:t xml:space="preserve"> Seoul, Korea</w:t>
      </w:r>
      <w:r>
        <w:rPr>
          <w:lang w:val="en-US"/>
        </w:rPr>
        <w:t xml:space="preserve"> </w:t>
      </w:r>
      <w:r>
        <w:rPr>
          <w:lang w:val="en-US"/>
        </w:rPr>
        <w:tab/>
      </w:r>
      <w:r>
        <w:rPr>
          <w:lang w:val="en-US"/>
        </w:rPr>
        <w:br/>
        <w:t>(</w:t>
      </w:r>
      <w:r w:rsidRPr="004F6371">
        <w:rPr>
          <w:lang w:val="en-US"/>
        </w:rPr>
        <w:t xml:space="preserve">AI </w:t>
      </w:r>
      <w:r w:rsidRPr="004F6371">
        <w:rPr>
          <w:rFonts w:ascii="Apple SD 산돌고딕 Neo 일반체" w:eastAsia="Apple SD 산돌고딕 Neo 일반체" w:hAnsi="Apple SD 산돌고딕 Neo 일반체" w:cs="Apple SD 산돌고딕 Neo 일반체" w:hint="eastAsia"/>
          <w:lang w:val="en-US"/>
        </w:rPr>
        <w:t>윤리와</w:t>
      </w:r>
      <w:r w:rsidRPr="004F6371">
        <w:rPr>
          <w:lang w:val="en-US"/>
        </w:rPr>
        <w:t xml:space="preserve"> </w:t>
      </w:r>
      <w:r w:rsidRPr="004F6371">
        <w:rPr>
          <w:rFonts w:ascii="Apple SD 산돌고딕 Neo 일반체" w:eastAsia="Apple SD 산돌고딕 Neo 일반체" w:hAnsi="Apple SD 산돌고딕 Neo 일반체" w:cs="Apple SD 산돌고딕 Neo 일반체" w:hint="eastAsia"/>
          <w:lang w:val="en-US"/>
        </w:rPr>
        <w:t>프라이버시</w:t>
      </w:r>
      <w:r w:rsidRPr="004F6371">
        <w:rPr>
          <w:lang w:val="en-US"/>
        </w:rPr>
        <w:t xml:space="preserve"> </w:t>
      </w:r>
      <w:r w:rsidRPr="004F6371">
        <w:rPr>
          <w:rFonts w:ascii="Apple SD 산돌고딕 Neo 일반체" w:eastAsia="Apple SD 산돌고딕 Neo 일반체" w:hAnsi="Apple SD 산돌고딕 Neo 일반체" w:cs="Apple SD 산돌고딕 Neo 일반체" w:hint="eastAsia"/>
          <w:lang w:val="en-US"/>
        </w:rPr>
        <w:t>워크숍</w:t>
      </w:r>
      <w:r>
        <w:rPr>
          <w:rFonts w:ascii="Apple SD 산돌고딕 Neo 일반체" w:eastAsia="Apple SD 산돌고딕 Neo 일반체" w:hAnsi="Apple SD 산돌고딕 Neo 일반체" w:cs="Apple SD 산돌고딕 Neo 일반체"/>
          <w:lang w:val="en-US"/>
        </w:rPr>
        <w:t>)</w:t>
      </w:r>
    </w:p>
    <w:p w14:paraId="53990A4B" w14:textId="77777777" w:rsidR="00510571" w:rsidRPr="009D2D92" w:rsidRDefault="00510571" w:rsidP="00B208A2">
      <w:pPr>
        <w:pStyle w:val="Heading1"/>
      </w:pPr>
      <w:r>
        <w:t>Background provided by the organisers</w:t>
      </w:r>
    </w:p>
    <w:p w14:paraId="312CCA05" w14:textId="77777777" w:rsidR="00510571" w:rsidRDefault="00510571" w:rsidP="00510571">
      <w:pPr>
        <w:rPr>
          <w:lang w:val="en-US" w:eastAsia="ja-JP"/>
        </w:rPr>
      </w:pPr>
      <w:r w:rsidRPr="00164432">
        <w:rPr>
          <w:i/>
          <w:lang w:val="en-US" w:eastAsia="ja-JP"/>
        </w:rPr>
        <w:t>Background provided:</w:t>
      </w:r>
      <w:r>
        <w:rPr>
          <w:lang w:val="en-US" w:eastAsia="ja-JP"/>
        </w:rPr>
        <w:t xml:space="preserve"> </w:t>
      </w:r>
      <w:r w:rsidRPr="00233EB9">
        <w:rPr>
          <w:i/>
          <w:lang w:val="en-US" w:eastAsia="ja-JP"/>
        </w:rPr>
        <w:t>‘</w:t>
      </w:r>
      <w:proofErr w:type="gramStart"/>
      <w:r w:rsidRPr="00233EB9">
        <w:rPr>
          <w:i/>
          <w:lang w:val="en-US" w:eastAsia="ja-JP"/>
        </w:rPr>
        <w:t>What</w:t>
      </w:r>
      <w:proofErr w:type="gramEnd"/>
      <w:r w:rsidRPr="00233EB9">
        <w:rPr>
          <w:i/>
          <w:lang w:val="en-US" w:eastAsia="ja-JP"/>
        </w:rPr>
        <w:t xml:space="preserve"> is the scope of permitted “further processing” for the new purposes “compatible” with original purposes? What is the scope of public interest archiving, scientific/historical research, and statistics for which personal data can be used for new purposes? What is the required features of </w:t>
      </w:r>
      <w:proofErr w:type="spellStart"/>
      <w:r w:rsidRPr="00233EB9">
        <w:rPr>
          <w:i/>
          <w:lang w:val="en-US" w:eastAsia="ja-JP"/>
        </w:rPr>
        <w:t>pseudonymization</w:t>
      </w:r>
      <w:proofErr w:type="spellEnd"/>
      <w:r w:rsidRPr="00233EB9">
        <w:rPr>
          <w:i/>
          <w:lang w:val="en-US" w:eastAsia="ja-JP"/>
        </w:rPr>
        <w:t xml:space="preserve"> that are required for such further processing?’</w:t>
      </w:r>
    </w:p>
    <w:p w14:paraId="1E4EF570" w14:textId="77777777" w:rsidR="00510571" w:rsidRDefault="00510571" w:rsidP="00510571">
      <w:pPr>
        <w:rPr>
          <w:i/>
          <w:color w:val="500050"/>
          <w:lang w:val="en-US" w:eastAsia="ja-JP"/>
        </w:rPr>
      </w:pPr>
      <w:r w:rsidRPr="002E2BB3">
        <w:rPr>
          <w:i/>
        </w:rPr>
        <w:t xml:space="preserve">Background provided: ‘ ‘GDPR allows non-consensual ‘further processing’ of data for new purposes compatible with original purposes where public-interest archiving, scientific/historical research, and statistics are deemed to be compatible as long as safeguards are in place where the only explicitly stated safeguards are </w:t>
      </w:r>
      <w:proofErr w:type="spellStart"/>
      <w:r w:rsidRPr="002E2BB3">
        <w:rPr>
          <w:i/>
        </w:rPr>
        <w:t>pseudonymization</w:t>
      </w:r>
      <w:proofErr w:type="spellEnd"/>
      <w:r w:rsidRPr="002E2BB3">
        <w:rPr>
          <w:i/>
        </w:rPr>
        <w:t xml:space="preserve">. These provisions were together interpreted by many that </w:t>
      </w:r>
      <w:proofErr w:type="spellStart"/>
      <w:r w:rsidRPr="002E2BB3">
        <w:rPr>
          <w:i/>
        </w:rPr>
        <w:t>pseudonymized</w:t>
      </w:r>
      <w:proofErr w:type="spellEnd"/>
      <w:r w:rsidRPr="002E2BB3">
        <w:rPr>
          <w:i/>
        </w:rPr>
        <w:t xml:space="preserve"> data can be used for scientific research not included in the original purpose</w:t>
      </w:r>
      <w:r w:rsidRPr="00233EB9">
        <w:rPr>
          <w:i/>
          <w:color w:val="500050"/>
          <w:lang w:val="en-US" w:eastAsia="ja-JP"/>
        </w:rPr>
        <w:t>.’</w:t>
      </w:r>
    </w:p>
    <w:p w14:paraId="562A9870" w14:textId="77777777" w:rsidR="00C64646" w:rsidRDefault="00B208A2">
      <w:pPr>
        <w:rPr>
          <w:i/>
          <w:color w:val="222222"/>
          <w:lang w:val="en-US" w:eastAsia="ja-JP"/>
        </w:rPr>
      </w:pPr>
      <w:r w:rsidRPr="00164432">
        <w:rPr>
          <w:i/>
          <w:lang w:val="en-US" w:eastAsia="ja-JP"/>
        </w:rPr>
        <w:t>Background provided:</w:t>
      </w:r>
      <w:r>
        <w:rPr>
          <w:lang w:val="en-US" w:eastAsia="ja-JP"/>
        </w:rPr>
        <w:t xml:space="preserve"> </w:t>
      </w:r>
      <w:r w:rsidRPr="00233EB9">
        <w:rPr>
          <w:i/>
          <w:lang w:val="en-US" w:eastAsia="ja-JP"/>
        </w:rPr>
        <w:t>‘</w:t>
      </w:r>
      <w:r w:rsidRPr="00233EB9">
        <w:rPr>
          <w:i/>
          <w:color w:val="222222"/>
          <w:lang w:val="en-US" w:eastAsia="ja-JP"/>
        </w:rPr>
        <w:t xml:space="preserve"> ‘In an attempt to emulate GDPR, Korea’s Personal Information Protection Act amendment, which now passed the relevant congressional committee, states that in the newly inserted Article 28-2 that “data processors may process </w:t>
      </w:r>
      <w:proofErr w:type="spellStart"/>
      <w:r w:rsidRPr="00233EB9">
        <w:rPr>
          <w:i/>
          <w:color w:val="222222"/>
          <w:lang w:val="en-US" w:eastAsia="ja-JP"/>
        </w:rPr>
        <w:t>pseudonymized</w:t>
      </w:r>
      <w:proofErr w:type="spellEnd"/>
      <w:r w:rsidRPr="00233EB9">
        <w:rPr>
          <w:i/>
          <w:color w:val="222222"/>
          <w:lang w:val="en-US" w:eastAsia="ja-JP"/>
        </w:rPr>
        <w:t xml:space="preserve"> data for statistics, scientific research, and public interest archiving, </w:t>
      </w:r>
      <w:proofErr w:type="spellStart"/>
      <w:proofErr w:type="gramStart"/>
      <w:r w:rsidRPr="00233EB9">
        <w:rPr>
          <w:i/>
          <w:color w:val="222222"/>
          <w:lang w:val="en-US" w:eastAsia="ja-JP"/>
        </w:rPr>
        <w:t>etc</w:t>
      </w:r>
      <w:proofErr w:type="spellEnd"/>
      <w:r w:rsidRPr="00233EB9">
        <w:rPr>
          <w:i/>
          <w:color w:val="222222"/>
          <w:lang w:val="en-US" w:eastAsia="ja-JP"/>
        </w:rPr>
        <w:t xml:space="preserve"> .</w:t>
      </w:r>
      <w:proofErr w:type="gramEnd"/>
      <w:r w:rsidRPr="00233EB9">
        <w:rPr>
          <w:i/>
          <w:color w:val="222222"/>
          <w:lang w:val="en-US" w:eastAsia="ja-JP"/>
        </w:rPr>
        <w:t>, without the consent of data subjects.” where “Scientific research” means “development and verification of technologies, basic research, applied research, and private sector invested research, and other research using scientific methods.”</w:t>
      </w:r>
    </w:p>
    <w:p w14:paraId="115647DD" w14:textId="360FAA40" w:rsidR="008F1BFE" w:rsidRDefault="008F1BFE" w:rsidP="008F1BFE">
      <w:pPr>
        <w:pStyle w:val="Heading1"/>
        <w:rPr>
          <w:lang w:val="en-US" w:eastAsia="ja-JP"/>
        </w:rPr>
      </w:pPr>
      <w:r>
        <w:rPr>
          <w:lang w:val="en-US" w:eastAsia="ja-JP"/>
        </w:rPr>
        <w:t>Approach taken in presentation</w:t>
      </w:r>
    </w:p>
    <w:p w14:paraId="12031F3C" w14:textId="029DE33F" w:rsidR="008F1BFE" w:rsidRDefault="008F1BFE" w:rsidP="008F1BFE">
      <w:r>
        <w:t>The organisers have requested that I comment on six questions.</w:t>
      </w:r>
    </w:p>
    <w:p w14:paraId="7E238C4C" w14:textId="4BD03C20" w:rsidR="008F1BFE" w:rsidRDefault="008F1BFE" w:rsidP="008F1BFE">
      <w:r>
        <w:t xml:space="preserve">A reliable English translation of the whole Korean PIPA, as </w:t>
      </w:r>
      <w:proofErr w:type="gramStart"/>
      <w:r>
        <w:t>proposed to be amended</w:t>
      </w:r>
      <w:proofErr w:type="gramEnd"/>
      <w:r>
        <w:t>, is not available. Others are therefore better placed to discuss what the revised PIPA might mean</w:t>
      </w:r>
      <w:r w:rsidR="00E71019">
        <w:t xml:space="preserve"> in relation to these questions</w:t>
      </w:r>
      <w:r>
        <w:t>.</w:t>
      </w:r>
    </w:p>
    <w:p w14:paraId="3459144B" w14:textId="3EC9ECE2" w:rsidR="00E71019" w:rsidRDefault="00E71019" w:rsidP="008F1BFE">
      <w:r>
        <w:t xml:space="preserve">I will therefore approach the questions as if Korea was </w:t>
      </w:r>
      <w:proofErr w:type="gramStart"/>
      <w:r>
        <w:t>an</w:t>
      </w:r>
      <w:proofErr w:type="gramEnd"/>
      <w:r>
        <w:t xml:space="preserve"> EU member st</w:t>
      </w:r>
      <w:r w:rsidR="009A00EA">
        <w:t>ate, and attempt to answer these questions in terms of what the GDPR requires or allows. However, I stress that in doing so I am not purporting to answer the question ‘what will the EU require in Korean law in order for Korea’s protections to be regarded as adequate under GDPR art. 45?’</w:t>
      </w:r>
    </w:p>
    <w:p w14:paraId="586054B1" w14:textId="527609DF" w:rsidR="008F1BFE" w:rsidRDefault="008F1BFE" w:rsidP="008F1BFE">
      <w:r>
        <w:t xml:space="preserve">Accurate prediction of what implications any of the PIPA changes might have for </w:t>
      </w:r>
      <w:proofErr w:type="gramStart"/>
      <w:r>
        <w:t>an</w:t>
      </w:r>
      <w:proofErr w:type="gramEnd"/>
      <w:r>
        <w:t xml:space="preserve"> EU assessment of the ‘adequacy’ of Korea’s protections is not possible. Under the GDPR (as with the Directive), </w:t>
      </w:r>
      <w:proofErr w:type="gramStart"/>
      <w:r>
        <w:t>an ‘adequate</w:t>
      </w:r>
      <w:proofErr w:type="gramEnd"/>
      <w:r>
        <w:t xml:space="preserve"> level of protections’ does not require identical protections, although </w:t>
      </w:r>
      <w:r w:rsidR="00905ED5">
        <w:t xml:space="preserve">the CJEU in </w:t>
      </w:r>
      <w:proofErr w:type="spellStart"/>
      <w:r w:rsidRPr="00905ED5">
        <w:rPr>
          <w:i/>
        </w:rPr>
        <w:t>Schrems</w:t>
      </w:r>
      <w:proofErr w:type="spellEnd"/>
      <w:r w:rsidRPr="00905ED5">
        <w:rPr>
          <w:i/>
        </w:rPr>
        <w:t xml:space="preserve"> I</w:t>
      </w:r>
      <w:r>
        <w:t xml:space="preserve"> held (under the Directive) that they must be ‘essentially equivalent’. The EC’s decision concerning Japan (2019) did not clarify what this meant.</w:t>
      </w:r>
    </w:p>
    <w:p w14:paraId="15658189" w14:textId="2B3B0AAE" w:rsidR="00905ED5" w:rsidRDefault="00266471" w:rsidP="00266471">
      <w:pPr>
        <w:pStyle w:val="Heading1"/>
      </w:pPr>
      <w:r>
        <w:lastRenderedPageBreak/>
        <w:t xml:space="preserve">Applying the GDPR </w:t>
      </w:r>
    </w:p>
    <w:p w14:paraId="2B38ED75" w14:textId="76F781D9" w:rsidR="00266471" w:rsidRDefault="00266471" w:rsidP="00266471">
      <w:r>
        <w:t>The following analysis</w:t>
      </w:r>
      <w:r w:rsidR="00821E13">
        <w:t xml:space="preserve"> applies the GDPR to the use of personal data</w:t>
      </w:r>
      <w:r w:rsidR="00821E13" w:rsidRPr="00821E13">
        <w:t xml:space="preserve"> for </w:t>
      </w:r>
      <w:r w:rsidR="00552824" w:rsidRPr="00821E13">
        <w:t>archiving</w:t>
      </w:r>
      <w:r w:rsidR="00552824">
        <w:t xml:space="preserve">, </w:t>
      </w:r>
      <w:r w:rsidR="00821E13" w:rsidRPr="00821E13">
        <w:t xml:space="preserve">research, </w:t>
      </w:r>
      <w:r w:rsidR="00552824">
        <w:t xml:space="preserve">and </w:t>
      </w:r>
      <w:r w:rsidR="00821E13" w:rsidRPr="00821E13">
        <w:t>statistics</w:t>
      </w:r>
      <w:r w:rsidR="00552824">
        <w:t xml:space="preserve"> (‘ARS uses’)</w:t>
      </w:r>
      <w:r w:rsidR="00821E13">
        <w:t xml:space="preserve">, and the use of pseudonymous </w:t>
      </w:r>
      <w:r w:rsidR="00475765">
        <w:t>data, from the perspective of a</w:t>
      </w:r>
      <w:r w:rsidR="00821E13">
        <w:t xml:space="preserve"> EU Member State</w:t>
      </w:r>
      <w:r w:rsidR="00475765">
        <w:t>.</w:t>
      </w:r>
      <w:r w:rsidRPr="00821E13">
        <w:t xml:space="preserve"> </w:t>
      </w:r>
      <w:r w:rsidR="00821E13">
        <w:t xml:space="preserve">It </w:t>
      </w:r>
      <w:r w:rsidR="00475765">
        <w:t>addresses</w:t>
      </w:r>
      <w:r>
        <w:t xml:space="preserve"> the six questions, but not necessary in the order given.</w:t>
      </w:r>
    </w:p>
    <w:p w14:paraId="5D04A9C7" w14:textId="2DAFF798" w:rsidR="00266471" w:rsidRDefault="00840016" w:rsidP="00A149ED">
      <w:pPr>
        <w:pStyle w:val="Heading2"/>
      </w:pPr>
      <w:r>
        <w:t xml:space="preserve">Pseudonymous </w:t>
      </w:r>
      <w:r w:rsidR="00A149ED">
        <w:t>data is still personal data</w:t>
      </w:r>
      <w:r w:rsidR="00EE54A8">
        <w:t xml:space="preserve">, and not </w:t>
      </w:r>
      <w:r w:rsidR="00EE54A8" w:rsidRPr="00E313EF">
        <w:rPr>
          <w:i/>
        </w:rPr>
        <w:t>per se</w:t>
      </w:r>
      <w:r w:rsidR="00EE54A8">
        <w:t xml:space="preserve"> exempt </w:t>
      </w:r>
    </w:p>
    <w:p w14:paraId="6E818414" w14:textId="06552DF1" w:rsidR="002235DA" w:rsidRDefault="00376F98" w:rsidP="00475765">
      <w:r>
        <w:t>P</w:t>
      </w:r>
      <w:r w:rsidR="00C67ACF">
        <w:t>seudonymous data is personal data</w:t>
      </w:r>
      <w:r w:rsidR="000D3E9E">
        <w:t xml:space="preserve"> for GDPR purposes</w:t>
      </w:r>
      <w:r w:rsidR="00C67ACF">
        <w:t>: ‘</w:t>
      </w:r>
      <w:proofErr w:type="gramStart"/>
      <w:r w:rsidR="00C67ACF" w:rsidRPr="00C67ACF">
        <w:t>The</w:t>
      </w:r>
      <w:proofErr w:type="gramEnd"/>
      <w:r w:rsidR="00C67ACF" w:rsidRPr="00C67ACF">
        <w:t xml:space="preserve"> principles of data protection should apply to any information concerning an identified or identifiable natural person. Personal data which have undergone </w:t>
      </w:r>
      <w:proofErr w:type="spellStart"/>
      <w:r w:rsidR="00C67ACF" w:rsidRPr="00C67ACF">
        <w:t>pseudonymisation</w:t>
      </w:r>
      <w:proofErr w:type="spellEnd"/>
      <w:r w:rsidR="00C67ACF" w:rsidRPr="00C67ACF">
        <w:t>, which could be attributed to a natural person by the use of additional information should be considered to be information on</w:t>
      </w:r>
      <w:r>
        <w:t xml:space="preserve"> an identifiable natural person</w:t>
      </w:r>
      <w:r w:rsidR="000D3E9E">
        <w:t xml:space="preserve">’ </w:t>
      </w:r>
      <w:r>
        <w:t>(Recital 26).</w:t>
      </w:r>
      <w:r w:rsidR="00951B0A">
        <w:t xml:space="preserve"> See also art, </w:t>
      </w:r>
      <w:r w:rsidR="00605AB0">
        <w:t>4(5) definition of ‘</w:t>
      </w:r>
      <w:proofErr w:type="spellStart"/>
      <w:r w:rsidR="00605AB0">
        <w:t>pseudonymisation</w:t>
      </w:r>
      <w:proofErr w:type="spellEnd"/>
      <w:r w:rsidR="00605AB0">
        <w:t>’.</w:t>
      </w:r>
    </w:p>
    <w:p w14:paraId="4A47819E" w14:textId="344424AC" w:rsidR="00475765" w:rsidRPr="00475765" w:rsidRDefault="000D3E9E" w:rsidP="00475765">
      <w:r>
        <w:t xml:space="preserve">In contrast, processing of anonymous information </w:t>
      </w:r>
      <w:r w:rsidR="002235DA">
        <w:t>‘</w:t>
      </w:r>
      <w:r w:rsidR="002235DA" w:rsidRPr="002235DA">
        <w:t xml:space="preserve">including for statistical or research </w:t>
      </w:r>
      <w:proofErr w:type="gramStart"/>
      <w:r w:rsidR="002235DA" w:rsidRPr="002235DA">
        <w:t>purposes</w:t>
      </w:r>
      <w:r w:rsidR="002235DA">
        <w:t>’,</w:t>
      </w:r>
      <w:proofErr w:type="gramEnd"/>
      <w:r w:rsidR="002235DA">
        <w:t xml:space="preserve"> does not come within the GDPR. </w:t>
      </w:r>
      <w:r w:rsidR="00376F98">
        <w:t>‘A</w:t>
      </w:r>
      <w:r w:rsidR="002235DA" w:rsidRPr="002235DA">
        <w:t>nonymous information</w:t>
      </w:r>
      <w:r w:rsidR="00376F98">
        <w:t>’ is described as</w:t>
      </w:r>
      <w:r w:rsidR="002235DA" w:rsidRPr="002235DA">
        <w:t xml:space="preserve"> </w:t>
      </w:r>
      <w:r w:rsidR="00376F98">
        <w:t>‘</w:t>
      </w:r>
      <w:r w:rsidR="002235DA" w:rsidRPr="002235DA">
        <w:t xml:space="preserve">information which does not relate to an identified or identifiable natural person or to personal data rendered anonymous in such a manner that the data subject is not or no longer </w:t>
      </w:r>
      <w:proofErr w:type="gramStart"/>
      <w:r w:rsidR="002235DA" w:rsidRPr="002235DA">
        <w:t>identifiable</w:t>
      </w:r>
      <w:r w:rsidR="00376F98">
        <w:t xml:space="preserve">’ </w:t>
      </w:r>
      <w:r w:rsidR="000143D7">
        <w:t xml:space="preserve"> with</w:t>
      </w:r>
      <w:proofErr w:type="gramEnd"/>
      <w:r w:rsidR="000143D7">
        <w:t xml:space="preserve"> ‘</w:t>
      </w:r>
      <w:proofErr w:type="spellStart"/>
      <w:r w:rsidR="000143D7">
        <w:t>identifiability</w:t>
      </w:r>
      <w:proofErr w:type="spellEnd"/>
      <w:r w:rsidR="000143D7">
        <w:t>’ further described</w:t>
      </w:r>
      <w:r w:rsidR="000143D7">
        <w:rPr>
          <w:rStyle w:val="FootnoteReference"/>
        </w:rPr>
        <w:footnoteReference w:id="1"/>
      </w:r>
      <w:r w:rsidR="000143D7">
        <w:t xml:space="preserve"> </w:t>
      </w:r>
      <w:r w:rsidR="00376F98">
        <w:t>(Recital 26)</w:t>
      </w:r>
    </w:p>
    <w:p w14:paraId="1DB5DE70" w14:textId="2D1E9EFF" w:rsidR="00E67EC5" w:rsidRPr="00E67EC5" w:rsidRDefault="00E67EC5" w:rsidP="00E67EC5">
      <w:r>
        <w:t xml:space="preserve">Secondary uses of pseudonymous data are not </w:t>
      </w:r>
      <w:r w:rsidRPr="006E2FE4">
        <w:rPr>
          <w:i/>
        </w:rPr>
        <w:t>per se</w:t>
      </w:r>
      <w:r>
        <w:t xml:space="preserve"> exempt from the</w:t>
      </w:r>
      <w:r w:rsidR="00AB14F2">
        <w:t xml:space="preserve"> art. 6(4)</w:t>
      </w:r>
      <w:r>
        <w:t xml:space="preserve"> ‘compatible uses’ test</w:t>
      </w:r>
      <w:r w:rsidR="00527570">
        <w:t xml:space="preserve"> – only certain uses are exempt</w:t>
      </w:r>
      <w:r w:rsidR="00C306CD">
        <w:t>.</w:t>
      </w:r>
      <w:r w:rsidR="008A27A6">
        <w:t xml:space="preserve">  </w:t>
      </w:r>
      <w:proofErr w:type="spellStart"/>
      <w:r w:rsidR="008A27A6">
        <w:t>Pseudonymisation</w:t>
      </w:r>
      <w:proofErr w:type="spellEnd"/>
      <w:r w:rsidR="008A27A6">
        <w:t xml:space="preserve"> is important in this discussion, not as a basis for further processing, but only </w:t>
      </w:r>
      <w:r w:rsidR="00DB515D">
        <w:t>as a possible means of satisfying the need for safeguards.</w:t>
      </w:r>
    </w:p>
    <w:p w14:paraId="193C8DD8" w14:textId="3670302B" w:rsidR="00B47B6B" w:rsidRDefault="00196548" w:rsidP="00196548">
      <w:pPr>
        <w:pStyle w:val="Heading2"/>
      </w:pPr>
      <w:r>
        <w:t xml:space="preserve">Only </w:t>
      </w:r>
      <w:r w:rsidR="00C306CD">
        <w:t>four</w:t>
      </w:r>
      <w:r>
        <w:t xml:space="preserve"> categories of data</w:t>
      </w:r>
      <w:r w:rsidR="00B66D3F">
        <w:t xml:space="preserve"> uses</w:t>
      </w:r>
      <w:r>
        <w:t xml:space="preserve"> are </w:t>
      </w:r>
      <w:r w:rsidR="00611422">
        <w:t>presumed to be</w:t>
      </w:r>
      <w:r>
        <w:t xml:space="preserve"> compatible </w:t>
      </w:r>
    </w:p>
    <w:p w14:paraId="33BF883E" w14:textId="660E2F75" w:rsidR="00196548" w:rsidRDefault="001E28DB" w:rsidP="00196548">
      <w:r>
        <w:t xml:space="preserve">The GDPR deems </w:t>
      </w:r>
      <w:r w:rsidR="00AB14F2">
        <w:t xml:space="preserve">as satisfying the ‘compatible uses’ test only four categories of </w:t>
      </w:r>
      <w:r>
        <w:t>uses of personal data</w:t>
      </w:r>
      <w:r w:rsidR="00711268">
        <w:t xml:space="preserve">: </w:t>
      </w:r>
      <w:r>
        <w:t xml:space="preserve"> </w:t>
      </w:r>
      <w:r w:rsidR="00711268">
        <w:t>‘</w:t>
      </w:r>
      <w:r w:rsidRPr="004477C3">
        <w:rPr>
          <w:lang w:eastAsia="ja-JP"/>
        </w:rPr>
        <w:t>archiving purposes in the public interest, scientific or historical research purposes or statistical purposes</w:t>
      </w:r>
      <w:r>
        <w:rPr>
          <w:lang w:eastAsia="ja-JP"/>
        </w:rPr>
        <w:t>’</w:t>
      </w:r>
      <w:r w:rsidR="008A4AF9">
        <w:rPr>
          <w:lang w:eastAsia="ja-JP"/>
        </w:rPr>
        <w:t xml:space="preserve"> </w:t>
      </w:r>
      <w:r w:rsidR="004E13C0">
        <w:rPr>
          <w:lang w:eastAsia="ja-JP"/>
        </w:rPr>
        <w:t>(‘ARS uses’)</w:t>
      </w:r>
      <w:r>
        <w:t xml:space="preserve">. </w:t>
      </w:r>
      <w:r w:rsidR="00010830">
        <w:t xml:space="preserve">For these uses, the ‘presumption of compatibility’ applies. </w:t>
      </w:r>
      <w:r w:rsidR="00BB7F73">
        <w:t>(</w:t>
      </w:r>
      <w:r w:rsidR="00196548">
        <w:t xml:space="preserve">Korea has </w:t>
      </w:r>
      <w:r w:rsidR="008A4AF9">
        <w:t>not</w:t>
      </w:r>
      <w:r w:rsidR="00196548">
        <w:t xml:space="preserve"> include</w:t>
      </w:r>
      <w:r w:rsidR="008A4AF9">
        <w:t>d</w:t>
      </w:r>
      <w:r w:rsidR="00196548">
        <w:t xml:space="preserve"> ‘historical research’</w:t>
      </w:r>
      <w:r w:rsidR="008A4AF9">
        <w:t xml:space="preserve"> in new art. 28-2</w:t>
      </w:r>
      <w:r w:rsidR="00C306CD">
        <w:t xml:space="preserve">, so </w:t>
      </w:r>
      <w:r w:rsidR="00EA3076">
        <w:t xml:space="preserve">it </w:t>
      </w:r>
      <w:r w:rsidR="00C306CD">
        <w:t>only covers three of these categories.</w:t>
      </w:r>
      <w:r w:rsidR="00BB7F73">
        <w:t>)</w:t>
      </w:r>
    </w:p>
    <w:p w14:paraId="7F241393" w14:textId="770E6404" w:rsidR="006E2FE4" w:rsidRDefault="006E2FE4" w:rsidP="00196548">
      <w:r>
        <w:t>There is no ‘</w:t>
      </w:r>
      <w:proofErr w:type="spellStart"/>
      <w:r>
        <w:t>etc</w:t>
      </w:r>
      <w:proofErr w:type="spellEnd"/>
      <w:r>
        <w:t>’ in the list of categories of uses deemed compatible.</w:t>
      </w:r>
      <w:r w:rsidR="00622547">
        <w:t xml:space="preserve"> The GDPR consistently refers in eleven articles and recitals</w:t>
      </w:r>
      <w:r w:rsidR="00622547">
        <w:rPr>
          <w:rStyle w:val="FootnoteReference"/>
          <w:lang w:eastAsia="ja-JP"/>
        </w:rPr>
        <w:footnoteReference w:id="2"/>
      </w:r>
      <w:proofErr w:type="gramStart"/>
      <w:r w:rsidR="00622547">
        <w:rPr>
          <w:lang w:eastAsia="ja-JP"/>
        </w:rPr>
        <w:t xml:space="preserve"> </w:t>
      </w:r>
      <w:r w:rsidR="00622547">
        <w:t xml:space="preserve"> to</w:t>
      </w:r>
      <w:proofErr w:type="gramEnd"/>
      <w:r w:rsidR="00622547">
        <w:t xml:space="preserve"> ‘</w:t>
      </w:r>
      <w:r w:rsidR="00622547" w:rsidRPr="004477C3">
        <w:rPr>
          <w:lang w:eastAsia="ja-JP"/>
        </w:rPr>
        <w:t>arch</w:t>
      </w:r>
      <w:bookmarkStart w:id="0" w:name="_GoBack"/>
      <w:bookmarkEnd w:id="0"/>
      <w:r w:rsidR="00622547" w:rsidRPr="004477C3">
        <w:rPr>
          <w:lang w:eastAsia="ja-JP"/>
        </w:rPr>
        <w:t>iving purposes in the public interest, scientific or historical research purposes or statistical purposes</w:t>
      </w:r>
      <w:r w:rsidR="00622547">
        <w:rPr>
          <w:lang w:eastAsia="ja-JP"/>
        </w:rPr>
        <w:t>’, which is a closed list. There is no explicit additional expression such as ‘</w:t>
      </w:r>
      <w:proofErr w:type="spellStart"/>
      <w:r w:rsidR="00622547">
        <w:rPr>
          <w:lang w:eastAsia="ja-JP"/>
        </w:rPr>
        <w:t>etc</w:t>
      </w:r>
      <w:proofErr w:type="spellEnd"/>
      <w:r w:rsidR="00622547">
        <w:rPr>
          <w:lang w:eastAsia="ja-JP"/>
        </w:rPr>
        <w:t xml:space="preserve">’ or ‘and similar purposes’ to convert this into an open list. Nor is there any justification for an argument that it is implied that similar purposes are also </w:t>
      </w:r>
      <w:proofErr w:type="gramStart"/>
      <w:r w:rsidR="00622547">
        <w:rPr>
          <w:lang w:eastAsia="ja-JP"/>
        </w:rPr>
        <w:t>excepted</w:t>
      </w:r>
      <w:proofErr w:type="gramEnd"/>
      <w:r w:rsidR="00622547">
        <w:rPr>
          <w:lang w:eastAsia="ja-JP"/>
        </w:rPr>
        <w:t>.</w:t>
      </w:r>
    </w:p>
    <w:p w14:paraId="3AD67236" w14:textId="27F60E56" w:rsidR="00FD67FE" w:rsidRDefault="00E67EC5" w:rsidP="00E55DCC">
      <w:r>
        <w:t>Only ‘</w:t>
      </w:r>
      <w:r w:rsidR="0090056E">
        <w:t>ARS</w:t>
      </w:r>
      <w:r>
        <w:t xml:space="preserve"> uses of </w:t>
      </w:r>
      <w:proofErr w:type="spellStart"/>
      <w:r>
        <w:t>pseudonymised</w:t>
      </w:r>
      <w:proofErr w:type="spellEnd"/>
      <w:r>
        <w:t xml:space="preserve"> data’ are exempt </w:t>
      </w:r>
      <w:r w:rsidR="0090056E">
        <w:t>from the art. 6(4) criteria for compatibility</w:t>
      </w:r>
      <w:r w:rsidR="004A70E6">
        <w:t xml:space="preserve"> </w:t>
      </w:r>
      <w:proofErr w:type="gramStart"/>
      <w:r w:rsidR="00FD67FE">
        <w:t>Any</w:t>
      </w:r>
      <w:proofErr w:type="gramEnd"/>
      <w:r w:rsidR="00FD67FE">
        <w:t xml:space="preserve"> uses of </w:t>
      </w:r>
      <w:proofErr w:type="spellStart"/>
      <w:r w:rsidR="00FD67FE">
        <w:t>pseudonymised</w:t>
      </w:r>
      <w:proofErr w:type="spellEnd"/>
      <w:r w:rsidR="00FD67FE">
        <w:t xml:space="preserve"> data other than </w:t>
      </w:r>
      <w:r w:rsidR="004E13C0">
        <w:t>ARS</w:t>
      </w:r>
      <w:r w:rsidR="00FD67FE">
        <w:t xml:space="preserve"> uses are not </w:t>
      </w:r>
      <w:r w:rsidR="004A70E6">
        <w:t xml:space="preserve">presumed to be </w:t>
      </w:r>
      <w:proofErr w:type="spellStart"/>
      <w:r w:rsidR="004A70E6">
        <w:t>be</w:t>
      </w:r>
      <w:proofErr w:type="spellEnd"/>
      <w:r w:rsidR="004A70E6">
        <w:t xml:space="preserve"> compatible.</w:t>
      </w:r>
    </w:p>
    <w:p w14:paraId="1F5CF0F0" w14:textId="2590BD81" w:rsidR="00FD67FE" w:rsidRDefault="00FD67FE" w:rsidP="00FD67FE">
      <w:r>
        <w:t xml:space="preserve">Any </w:t>
      </w:r>
      <w:r w:rsidR="008B2D3A">
        <w:t xml:space="preserve">secondary </w:t>
      </w:r>
      <w:r>
        <w:t xml:space="preserve">uses of </w:t>
      </w:r>
      <w:proofErr w:type="spellStart"/>
      <w:r>
        <w:t>pse</w:t>
      </w:r>
      <w:r w:rsidR="00240E61">
        <w:t>u</w:t>
      </w:r>
      <w:r>
        <w:t>donymised</w:t>
      </w:r>
      <w:proofErr w:type="spellEnd"/>
      <w:r>
        <w:t xml:space="preserve"> data to </w:t>
      </w:r>
      <w:r w:rsidR="00D02A27">
        <w:t>for other than</w:t>
      </w:r>
      <w:r>
        <w:t xml:space="preserve"> RSA uses</w:t>
      </w:r>
      <w:r w:rsidR="00D02A27">
        <w:t xml:space="preserve"> (in particular, to make decisions affecting individuals) are not presumed to be compatible</w:t>
      </w:r>
      <w:r w:rsidR="00DB2E19">
        <w:t>. Any such uses</w:t>
      </w:r>
      <w:r>
        <w:t xml:space="preserve"> </w:t>
      </w:r>
      <w:r w:rsidR="00B66D3F">
        <w:t>must therefore s</w:t>
      </w:r>
      <w:r w:rsidR="00DB2E19">
        <w:t>atisfy the art. 6(4) compatibility test, taking into account factors (a)-(</w:t>
      </w:r>
      <w:r w:rsidR="00E10D23">
        <w:t>e</w:t>
      </w:r>
      <w:r w:rsidR="00DB2E19">
        <w:t xml:space="preserve">) listed therein (link between purposes; context of collection; nature of the personal data, including </w:t>
      </w:r>
      <w:r w:rsidR="00953DCB">
        <w:t xml:space="preserve">whether special/sensitive data; possible consequences of processing; appropriate safeguards). Many proposed uses </w:t>
      </w:r>
      <w:r w:rsidR="00B3236D">
        <w:t>are likely to fail such a test.</w:t>
      </w:r>
      <w:r w:rsidR="008B2D3A">
        <w:t xml:space="preserve"> Of course, the use of personal data to make decisions about individuals will often be the </w:t>
      </w:r>
      <w:r w:rsidR="008B2D3A" w:rsidRPr="00E55DCC">
        <w:rPr>
          <w:i/>
        </w:rPr>
        <w:t>primary</w:t>
      </w:r>
      <w:r w:rsidR="008B2D3A">
        <w:t xml:space="preserve"> purpose of collection of the data, in which case it must have had a </w:t>
      </w:r>
      <w:r w:rsidR="00AF4C78">
        <w:t>lawful</w:t>
      </w:r>
      <w:r w:rsidR="008B2D3A">
        <w:t xml:space="preserve"> basis</w:t>
      </w:r>
      <w:r w:rsidR="00AF4C78">
        <w:t xml:space="preserve"> for processing under art. </w:t>
      </w:r>
      <w:proofErr w:type="gramStart"/>
      <w:r w:rsidR="00AF4C78">
        <w:t>6(1).</w:t>
      </w:r>
      <w:proofErr w:type="gramEnd"/>
    </w:p>
    <w:p w14:paraId="1C369F86" w14:textId="77777777" w:rsidR="00E905DD" w:rsidRDefault="00E905DD" w:rsidP="00894621">
      <w:pPr>
        <w:pStyle w:val="Heading2"/>
      </w:pPr>
      <w:r>
        <w:t xml:space="preserve">The rest of the GDPR still apples to ARS uses of </w:t>
      </w:r>
      <w:proofErr w:type="spellStart"/>
      <w:r>
        <w:t>pseudonymised</w:t>
      </w:r>
      <w:proofErr w:type="spellEnd"/>
      <w:r>
        <w:t xml:space="preserve"> data</w:t>
      </w:r>
    </w:p>
    <w:p w14:paraId="13A6A9A7" w14:textId="77777777" w:rsidR="00CA4375" w:rsidRDefault="00EA3076" w:rsidP="00010830">
      <w:r>
        <w:t xml:space="preserve">Although the ‘presumption of compatibility’ applies to ARS uses </w:t>
      </w:r>
      <w:r w:rsidR="002A11DA">
        <w:t xml:space="preserve">of </w:t>
      </w:r>
      <w:proofErr w:type="spellStart"/>
      <w:r w:rsidR="002A11DA">
        <w:t>pseudonymised</w:t>
      </w:r>
      <w:proofErr w:type="spellEnd"/>
      <w:r w:rsidR="002A11DA">
        <w:t xml:space="preserve"> data, since it </w:t>
      </w:r>
      <w:proofErr w:type="spellStart"/>
      <w:r w:rsidR="002A11DA">
        <w:t>it</w:t>
      </w:r>
      <w:proofErr w:type="spellEnd"/>
      <w:r w:rsidR="002A11DA">
        <w:t xml:space="preserve"> still personal data, the starting point must be that the rest of the GDPR still applies, unless the GDPR provides otherwise.</w:t>
      </w:r>
      <w:r w:rsidR="004E35CB">
        <w:t xml:space="preserve">  </w:t>
      </w:r>
    </w:p>
    <w:p w14:paraId="3F5EF59E" w14:textId="16D4A8DB" w:rsidR="002A44D1" w:rsidRPr="002A44D1" w:rsidRDefault="00600BB1" w:rsidP="00010830">
      <w:r>
        <w:t xml:space="preserve">Four </w:t>
      </w:r>
      <w:r w:rsidR="008D1DD4">
        <w:t xml:space="preserve">provisions </w:t>
      </w:r>
      <w:r w:rsidR="002030E0">
        <w:t xml:space="preserve">may </w:t>
      </w:r>
      <w:r w:rsidR="00CA4375">
        <w:t>limit the extent to which the rest of the GDPR applies to ARS uses:</w:t>
      </w:r>
    </w:p>
    <w:p w14:paraId="7692A933" w14:textId="0418E4A2" w:rsidR="00E905DD" w:rsidRDefault="00B348DB" w:rsidP="00105D80">
      <w:pPr>
        <w:pStyle w:val="ListParagraph"/>
        <w:numPr>
          <w:ilvl w:val="0"/>
          <w:numId w:val="14"/>
        </w:numPr>
      </w:pPr>
      <w:r>
        <w:t>Does art. 6(1) requiring</w:t>
      </w:r>
      <w:r w:rsidR="00E905DD">
        <w:t xml:space="preserve"> a l</w:t>
      </w:r>
      <w:r w:rsidR="008D1DD4">
        <w:t>awful</w:t>
      </w:r>
      <w:r w:rsidR="00E905DD">
        <w:t xml:space="preserve"> basis for processing, </w:t>
      </w:r>
      <w:r>
        <w:t xml:space="preserve">apply </w:t>
      </w:r>
      <w:r w:rsidR="00E905DD">
        <w:t xml:space="preserve">even </w:t>
      </w:r>
      <w:r>
        <w:t>to secondary</w:t>
      </w:r>
      <w:r w:rsidR="00E905DD">
        <w:t xml:space="preserve"> </w:t>
      </w:r>
      <w:r w:rsidR="002A11DA">
        <w:t>ARS</w:t>
      </w:r>
      <w:r>
        <w:t xml:space="preserve"> uses?</w:t>
      </w:r>
      <w:r w:rsidR="00E905DD">
        <w:t xml:space="preserve"> </w:t>
      </w:r>
      <w:r w:rsidR="00492E2F">
        <w:t xml:space="preserve">Where data is used for </w:t>
      </w:r>
      <w:r w:rsidR="00492E2F" w:rsidRPr="002030E0">
        <w:rPr>
          <w:i/>
        </w:rPr>
        <w:t>compatible</w:t>
      </w:r>
      <w:r w:rsidR="00492E2F">
        <w:t xml:space="preserve"> secondary purposes (in accordance with art. 6(4)), Recital 50 provides that </w:t>
      </w:r>
      <w:r w:rsidR="00FF5AA5">
        <w:t>‘</w:t>
      </w:r>
      <w:r w:rsidR="00FF5AA5" w:rsidRPr="00FF5AA5">
        <w:t>no legal basis separate from that which allowed the collection of the personal data is required</w:t>
      </w:r>
      <w:r w:rsidR="00FF5AA5">
        <w:t>’</w:t>
      </w:r>
      <w:r w:rsidR="001C25D2">
        <w:t>, and further that ARS uses ‘</w:t>
      </w:r>
      <w:r w:rsidR="001C25D2" w:rsidRPr="001C25D2">
        <w:t>should be considered to be compatible lawful processing operations</w:t>
      </w:r>
      <w:r w:rsidR="001C25D2">
        <w:t>’</w:t>
      </w:r>
      <w:r w:rsidR="00FF5AA5">
        <w:t>. It seems logical that, since ARS use</w:t>
      </w:r>
      <w:r w:rsidR="00994E27">
        <w:t xml:space="preserve">s are </w:t>
      </w:r>
      <w:r w:rsidR="00994E27" w:rsidRPr="002030E0">
        <w:rPr>
          <w:i/>
        </w:rPr>
        <w:t>presumed to be compatible</w:t>
      </w:r>
      <w:r w:rsidR="001C25D2">
        <w:t xml:space="preserve"> with the purpose of collection, no separate lawful ground for processing is needed, </w:t>
      </w:r>
      <w:r w:rsidR="0000038A">
        <w:t xml:space="preserve">and Recital 50 implies this. However </w:t>
      </w:r>
      <w:r w:rsidR="001C25D2">
        <w:t xml:space="preserve">this </w:t>
      </w:r>
      <w:r w:rsidR="0000038A">
        <w:t xml:space="preserve">conclusion </w:t>
      </w:r>
      <w:r w:rsidR="00524C26">
        <w:t>is not explicit or free from doubt</w:t>
      </w:r>
      <w:r w:rsidR="0000038A">
        <w:t>,</w:t>
      </w:r>
      <w:r w:rsidR="00524C26">
        <w:rPr>
          <w:rStyle w:val="FootnoteReference"/>
        </w:rPr>
        <w:footnoteReference w:id="3"/>
      </w:r>
      <w:r w:rsidR="00524C26">
        <w:t xml:space="preserve"> </w:t>
      </w:r>
      <w:r w:rsidR="0000038A">
        <w:t>and i</w:t>
      </w:r>
      <w:r w:rsidR="00524C26">
        <w:t xml:space="preserve">f this is not so, then </w:t>
      </w:r>
      <w:proofErr w:type="spellStart"/>
      <w:r w:rsidR="00524C26">
        <w:t>p</w:t>
      </w:r>
      <w:r w:rsidR="00E905DD">
        <w:t>seudonymised</w:t>
      </w:r>
      <w:proofErr w:type="spellEnd"/>
      <w:r w:rsidR="00E905DD">
        <w:t xml:space="preserve"> data cannot automatically be used for </w:t>
      </w:r>
      <w:r w:rsidR="00524C26">
        <w:t>ARS purposes</w:t>
      </w:r>
      <w:r w:rsidR="00E905DD">
        <w:t xml:space="preserve">, </w:t>
      </w:r>
      <w:r w:rsidR="0000038A">
        <w:t xml:space="preserve">and </w:t>
      </w:r>
      <w:r w:rsidR="00E905DD">
        <w:t>this</w:t>
      </w:r>
      <w:r w:rsidR="00994E27">
        <w:t xml:space="preserve"> use</w:t>
      </w:r>
      <w:r w:rsidR="00EC72F8">
        <w:t xml:space="preserve"> has to have a </w:t>
      </w:r>
      <w:r w:rsidR="0045572C">
        <w:t xml:space="preserve">separate </w:t>
      </w:r>
      <w:r w:rsidR="00EC72F8">
        <w:t>lawful</w:t>
      </w:r>
      <w:r w:rsidR="00E905DD">
        <w:t xml:space="preserve"> </w:t>
      </w:r>
      <w:r w:rsidR="00EC72F8">
        <w:t>ground</w:t>
      </w:r>
      <w:r w:rsidR="00994E27">
        <w:t xml:space="preserve">, based on </w:t>
      </w:r>
      <w:r w:rsidR="00EC72F8">
        <w:t>art. 6(1)</w:t>
      </w:r>
      <w:r w:rsidR="0000038A">
        <w:t>.</w:t>
      </w:r>
      <w:r w:rsidR="00663616">
        <w:t xml:space="preserve"> </w:t>
      </w:r>
      <w:r w:rsidR="0000038A">
        <w:t xml:space="preserve">This </w:t>
      </w:r>
      <w:r w:rsidR="00663616">
        <w:t xml:space="preserve">will often be readily found </w:t>
      </w:r>
      <w:r w:rsidR="000F6742">
        <w:t>(for example in (a) consent or (f) legitimate interests).</w:t>
      </w:r>
      <w:r w:rsidR="00AF4BD9">
        <w:t xml:space="preserve"> Recital 33 envisages that broad consent can be given for future scientific research purposes.</w:t>
      </w:r>
    </w:p>
    <w:p w14:paraId="7D782EBE" w14:textId="77777777" w:rsidR="00105D80" w:rsidRDefault="002030E0" w:rsidP="00105D80">
      <w:pPr>
        <w:pStyle w:val="ListParagraph"/>
        <w:numPr>
          <w:ilvl w:val="0"/>
          <w:numId w:val="14"/>
        </w:numPr>
      </w:pPr>
      <w:r>
        <w:t>The duration of storage of personal data ‘</w:t>
      </w:r>
      <w:r w:rsidRPr="002030E0">
        <w:t>in a form which permits identification of data subjects</w:t>
      </w:r>
      <w:r>
        <w:t xml:space="preserve">’ (which includes </w:t>
      </w:r>
      <w:proofErr w:type="spellStart"/>
      <w:r>
        <w:t>pseudonymised</w:t>
      </w:r>
      <w:proofErr w:type="spellEnd"/>
      <w:r>
        <w:t xml:space="preserve"> data) is limited by art. </w:t>
      </w:r>
      <w:r w:rsidR="001D300B">
        <w:t>5(1)(e), but storage ‘</w:t>
      </w:r>
      <w:r w:rsidR="001D300B" w:rsidRPr="001D300B">
        <w:t xml:space="preserve">for longer periods </w:t>
      </w:r>
      <w:r w:rsidR="0066553D">
        <w:t xml:space="preserve">[is allowed] </w:t>
      </w:r>
      <w:r w:rsidR="001D300B" w:rsidRPr="001D300B">
        <w:t xml:space="preserve">insofar as the personal data will be processed </w:t>
      </w:r>
      <w:r w:rsidR="001D300B" w:rsidRPr="00105D80">
        <w:rPr>
          <w:i/>
        </w:rPr>
        <w:t>solely</w:t>
      </w:r>
      <w:r w:rsidR="0066553D">
        <w:t>’</w:t>
      </w:r>
      <w:r w:rsidR="00FA1443">
        <w:t xml:space="preserve"> </w:t>
      </w:r>
      <w:r w:rsidR="0066553D">
        <w:t>for ARS uses</w:t>
      </w:r>
      <w:r w:rsidR="00FA1443">
        <w:t xml:space="preserve"> (emphasis added). </w:t>
      </w:r>
      <w:r w:rsidR="00B84434">
        <w:t>In other words, longer storage for other purposes, on a pretext of ARS uses, is not allowed.</w:t>
      </w:r>
      <w:r w:rsidR="00B84434">
        <w:rPr>
          <w:rStyle w:val="FootnoteReference"/>
        </w:rPr>
        <w:footnoteReference w:id="4"/>
      </w:r>
      <w:r w:rsidR="00B84434">
        <w:t xml:space="preserve"> </w:t>
      </w:r>
      <w:r w:rsidR="00FA1443">
        <w:t>This exception is also</w:t>
      </w:r>
      <w:r w:rsidR="0066553D">
        <w:t xml:space="preserve"> subject to art. 89(1) safeguards, and ‘</w:t>
      </w:r>
      <w:r w:rsidR="0066553D" w:rsidRPr="0066553D">
        <w:t>subject to implementation of the appropriate technical and organisational measures required by this Regulation in order to safeguard the rights a</w:t>
      </w:r>
      <w:r w:rsidR="0066553D">
        <w:t>nd freedoms of the data subject’.</w:t>
      </w:r>
      <w:r w:rsidR="001D300B">
        <w:t xml:space="preserve"> </w:t>
      </w:r>
      <w:r w:rsidR="00FA1443">
        <w:t xml:space="preserve"> The controller must be able to demonstrate compliance (art. 5(2)).</w:t>
      </w:r>
    </w:p>
    <w:p w14:paraId="7371FB57" w14:textId="06A62E7B" w:rsidR="00E905DD" w:rsidRDefault="00E905DD" w:rsidP="00105D80">
      <w:pPr>
        <w:pStyle w:val="ListParagraph"/>
        <w:numPr>
          <w:ilvl w:val="0"/>
          <w:numId w:val="14"/>
        </w:numPr>
      </w:pPr>
      <w:r w:rsidRPr="00105D80">
        <w:rPr>
          <w:color w:val="500050"/>
          <w:lang w:val="en-US" w:eastAsia="ja-JP"/>
        </w:rPr>
        <w:t>A</w:t>
      </w:r>
      <w:r w:rsidRPr="009018C4">
        <w:t>rt. 89(2)-(4) allows EU member state laws to derogate from data subject rights in relation to six articles (</w:t>
      </w:r>
      <w:hyperlink r:id="rId8" w:history="1">
        <w:r>
          <w:t>a</w:t>
        </w:r>
        <w:r w:rsidRPr="009018C4">
          <w:t>r</w:t>
        </w:r>
        <w:r>
          <w:t>ts.</w:t>
        </w:r>
        <w:r w:rsidRPr="009018C4">
          <w:t xml:space="preserve"> 15</w:t>
        </w:r>
      </w:hyperlink>
      <w:r w:rsidRPr="009018C4">
        <w:t xml:space="preserve">, </w:t>
      </w:r>
      <w:hyperlink r:id="rId9" w:history="1">
        <w:r w:rsidRPr="009018C4">
          <w:t>16</w:t>
        </w:r>
      </w:hyperlink>
      <w:r w:rsidRPr="009018C4">
        <w:t xml:space="preserve">, </w:t>
      </w:r>
      <w:hyperlink r:id="rId10" w:history="1">
        <w:r w:rsidRPr="009018C4">
          <w:t>18</w:t>
        </w:r>
      </w:hyperlink>
      <w:r w:rsidRPr="009018C4">
        <w:t>, </w:t>
      </w:r>
      <w:hyperlink r:id="rId11" w:history="1">
        <w:r w:rsidRPr="009018C4">
          <w:t>19</w:t>
        </w:r>
      </w:hyperlink>
      <w:r w:rsidRPr="009018C4">
        <w:t>, </w:t>
      </w:r>
      <w:hyperlink r:id="rId12" w:history="1">
        <w:r w:rsidRPr="009018C4">
          <w:t>20</w:t>
        </w:r>
      </w:hyperlink>
      <w:r w:rsidRPr="009018C4">
        <w:t xml:space="preserve"> and </w:t>
      </w:r>
      <w:hyperlink r:id="rId13" w:history="1">
        <w:r w:rsidRPr="009018C4">
          <w:t>21</w:t>
        </w:r>
      </w:hyperlink>
      <w:r w:rsidRPr="009018C4">
        <w:t xml:space="preserve">), but only if </w:t>
      </w:r>
      <w:r w:rsidR="008C1C35">
        <w:t xml:space="preserve">and in so far as </w:t>
      </w:r>
      <w:r w:rsidRPr="009018C4">
        <w:t xml:space="preserve">exercise of those rights would ‘render impossible or seriously impair’ the purpose of the processing  for </w:t>
      </w:r>
      <w:r w:rsidR="004E35CB">
        <w:t>ARS</w:t>
      </w:r>
      <w:r w:rsidRPr="009018C4">
        <w:t xml:space="preserve"> uses. Therefore, EU law allows user rights to continue in relation to this processing, except in very specific circumstances.</w:t>
      </w:r>
      <w:r w:rsidR="009B11C4">
        <w:t xml:space="preserve"> Providing some of these rights to </w:t>
      </w:r>
      <w:proofErr w:type="spellStart"/>
      <w:r w:rsidR="009B11C4">
        <w:t>pseudonymised</w:t>
      </w:r>
      <w:proofErr w:type="spellEnd"/>
      <w:r w:rsidR="009B11C4">
        <w:t xml:space="preserve"> data being held for ARS purposes may be expensive, but that is not in itself </w:t>
      </w:r>
      <w:r w:rsidR="001D2970">
        <w:t>a proper basis for derogating from a right.</w:t>
      </w:r>
      <w:r w:rsidR="001D2970">
        <w:rPr>
          <w:rStyle w:val="FootnoteReference"/>
        </w:rPr>
        <w:footnoteReference w:id="5"/>
      </w:r>
    </w:p>
    <w:p w14:paraId="5C3810EC" w14:textId="6DEE12A9" w:rsidR="00600BB1" w:rsidRDefault="00600BB1" w:rsidP="00105D80">
      <w:pPr>
        <w:pStyle w:val="ListParagraph"/>
        <w:numPr>
          <w:ilvl w:val="0"/>
          <w:numId w:val="14"/>
        </w:numPr>
      </w:pPr>
      <w:r>
        <w:t>Recital 33 envisages that broad consent can be given for future scientific research purposes.</w:t>
      </w:r>
    </w:p>
    <w:p w14:paraId="157800C7" w14:textId="00D25897" w:rsidR="00CA4375" w:rsidRPr="00105D80" w:rsidRDefault="00E12EC6" w:rsidP="00105D80">
      <w:r>
        <w:t xml:space="preserve">Some of the GDPR provisions </w:t>
      </w:r>
      <w:proofErr w:type="gramStart"/>
      <w:r>
        <w:t>which can affect ARS uses of personal data</w:t>
      </w:r>
      <w:proofErr w:type="gramEnd"/>
      <w:r w:rsidR="008D1DD4">
        <w:t xml:space="preserve"> (unless there are derogations)</w:t>
      </w:r>
      <w:r>
        <w:t xml:space="preserve"> include:</w:t>
      </w:r>
    </w:p>
    <w:p w14:paraId="3716BF53" w14:textId="568864E3" w:rsidR="006D2C90" w:rsidRPr="00D93C12" w:rsidRDefault="0043668E" w:rsidP="007E5703">
      <w:pPr>
        <w:pStyle w:val="ListParagraph"/>
        <w:numPr>
          <w:ilvl w:val="0"/>
          <w:numId w:val="13"/>
        </w:numPr>
        <w:rPr>
          <w:rFonts w:eastAsia="Times New Roman"/>
        </w:rPr>
      </w:pPr>
      <w:r>
        <w:rPr>
          <w:rFonts w:eastAsia="Times New Roman"/>
          <w:lang w:val="en-US"/>
        </w:rPr>
        <w:t>The r</w:t>
      </w:r>
      <w:r w:rsidR="006D2C90" w:rsidRPr="006D2C90">
        <w:rPr>
          <w:rFonts w:eastAsia="Times New Roman"/>
          <w:lang w:val="en-US"/>
        </w:rPr>
        <w:t>ight of access (</w:t>
      </w:r>
      <w:r w:rsidR="006D2C90">
        <w:rPr>
          <w:rFonts w:eastAsia="Times New Roman"/>
          <w:lang w:val="en-US"/>
        </w:rPr>
        <w:t xml:space="preserve">art. </w:t>
      </w:r>
      <w:r w:rsidR="006D2C90" w:rsidRPr="006D2C90">
        <w:rPr>
          <w:rFonts w:eastAsia="Times New Roman"/>
          <w:lang w:val="en-US"/>
        </w:rPr>
        <w:t xml:space="preserve">15), </w:t>
      </w:r>
      <w:r w:rsidR="006D2C90">
        <w:rPr>
          <w:rFonts w:eastAsia="Times New Roman"/>
          <w:lang w:val="en-US"/>
        </w:rPr>
        <w:t xml:space="preserve">and </w:t>
      </w:r>
      <w:r w:rsidR="006D2C90" w:rsidRPr="006D2C90">
        <w:rPr>
          <w:rFonts w:eastAsia="Times New Roman"/>
          <w:lang w:val="en-US"/>
        </w:rPr>
        <w:t>right to rectification (</w:t>
      </w:r>
      <w:r w:rsidR="006D2C90">
        <w:rPr>
          <w:rFonts w:eastAsia="Times New Roman"/>
          <w:lang w:val="en-US"/>
        </w:rPr>
        <w:t>art.</w:t>
      </w:r>
      <w:r w:rsidR="006D2C90" w:rsidRPr="006D2C90">
        <w:rPr>
          <w:rFonts w:eastAsia="Times New Roman"/>
          <w:lang w:val="en-US"/>
        </w:rPr>
        <w:t xml:space="preserve"> 16)</w:t>
      </w:r>
      <w:r>
        <w:rPr>
          <w:rFonts w:eastAsia="Times New Roman"/>
          <w:lang w:val="en-US"/>
        </w:rPr>
        <w:t xml:space="preserve"> are regarded as essential components of data protection (and mentioned in the EU Charter of Fundamental Rights), so derogations will onl</w:t>
      </w:r>
      <w:r w:rsidR="008C1C35">
        <w:rPr>
          <w:rFonts w:eastAsia="Times New Roman"/>
          <w:lang w:val="en-US"/>
        </w:rPr>
        <w:t>y be allowed in very exceptions circumstances</w:t>
      </w:r>
      <w:r>
        <w:rPr>
          <w:rFonts w:eastAsia="Times New Roman"/>
          <w:lang w:val="en-US"/>
        </w:rPr>
        <w:t xml:space="preserve"> </w:t>
      </w:r>
    </w:p>
    <w:p w14:paraId="64B1F021" w14:textId="61BCB7B6" w:rsidR="006D2C90" w:rsidRPr="00D93C12" w:rsidRDefault="006D2C90" w:rsidP="007E5703">
      <w:pPr>
        <w:pStyle w:val="ListParagraph"/>
        <w:numPr>
          <w:ilvl w:val="0"/>
          <w:numId w:val="13"/>
        </w:numPr>
        <w:rPr>
          <w:rFonts w:eastAsia="Times New Roman"/>
        </w:rPr>
      </w:pPr>
      <w:r>
        <w:rPr>
          <w:rFonts w:eastAsia="Times New Roman"/>
          <w:lang w:val="en-US"/>
        </w:rPr>
        <w:t>The r</w:t>
      </w:r>
      <w:r w:rsidRPr="006D2C90">
        <w:rPr>
          <w:rFonts w:eastAsia="Times New Roman"/>
          <w:lang w:val="en-US"/>
        </w:rPr>
        <w:t>ight to restriction</w:t>
      </w:r>
      <w:r w:rsidR="008C1C35">
        <w:rPr>
          <w:rFonts w:eastAsia="Times New Roman"/>
          <w:lang w:val="en-US"/>
        </w:rPr>
        <w:t xml:space="preserve"> or suspension of processing</w:t>
      </w:r>
      <w:r w:rsidRPr="006D2C90">
        <w:rPr>
          <w:rFonts w:eastAsia="Times New Roman"/>
          <w:lang w:val="en-US"/>
        </w:rPr>
        <w:t xml:space="preserve"> (Article 18)</w:t>
      </w:r>
      <w:r w:rsidR="007C167E">
        <w:rPr>
          <w:rFonts w:eastAsia="Times New Roman"/>
          <w:lang w:val="en-US"/>
        </w:rPr>
        <w:t xml:space="preserve"> will apply, subject to any </w:t>
      </w:r>
      <w:proofErr w:type="gramStart"/>
      <w:r w:rsidR="007C167E">
        <w:rPr>
          <w:rFonts w:eastAsia="Times New Roman"/>
          <w:lang w:val="en-US"/>
        </w:rPr>
        <w:t>derogations</w:t>
      </w:r>
      <w:proofErr w:type="gramEnd"/>
      <w:r w:rsidR="007C167E">
        <w:rPr>
          <w:rFonts w:eastAsia="Times New Roman"/>
          <w:lang w:val="en-US"/>
        </w:rPr>
        <w:t>.</w:t>
      </w:r>
      <w:r w:rsidRPr="006D2C90">
        <w:rPr>
          <w:rFonts w:eastAsia="Times New Roman"/>
          <w:lang w:val="en-US"/>
        </w:rPr>
        <w:t xml:space="preserve"> </w:t>
      </w:r>
    </w:p>
    <w:p w14:paraId="4431DA80" w14:textId="77777777" w:rsidR="00D93C12" w:rsidRPr="00D93C12" w:rsidRDefault="006D2C90" w:rsidP="007E5703">
      <w:pPr>
        <w:pStyle w:val="ListParagraph"/>
        <w:numPr>
          <w:ilvl w:val="0"/>
          <w:numId w:val="13"/>
        </w:numPr>
        <w:rPr>
          <w:rFonts w:eastAsia="Times New Roman"/>
        </w:rPr>
      </w:pPr>
      <w:r>
        <w:rPr>
          <w:color w:val="500050"/>
          <w:lang w:eastAsia="ja-JP"/>
        </w:rPr>
        <w:t xml:space="preserve">The </w:t>
      </w:r>
      <w:r w:rsidR="00EB4583">
        <w:rPr>
          <w:color w:val="500050"/>
          <w:lang w:eastAsia="ja-JP"/>
        </w:rPr>
        <w:t xml:space="preserve">right to erasure (including to be forgotten) (art. 17) will apply, without any derogation applying. </w:t>
      </w:r>
    </w:p>
    <w:p w14:paraId="621D619D" w14:textId="47984B46" w:rsidR="00E905DD" w:rsidRPr="007E5703" w:rsidRDefault="00EB4583" w:rsidP="007E5703">
      <w:pPr>
        <w:pStyle w:val="ListParagraph"/>
        <w:numPr>
          <w:ilvl w:val="0"/>
          <w:numId w:val="13"/>
        </w:numPr>
        <w:rPr>
          <w:rFonts w:eastAsia="Times New Roman"/>
        </w:rPr>
      </w:pPr>
      <w:r>
        <w:rPr>
          <w:color w:val="500050"/>
          <w:lang w:eastAsia="ja-JP"/>
        </w:rPr>
        <w:t xml:space="preserve">The </w:t>
      </w:r>
      <w:r w:rsidR="006D2C90">
        <w:rPr>
          <w:color w:val="500050"/>
          <w:lang w:eastAsia="ja-JP"/>
        </w:rPr>
        <w:t>right to object (a</w:t>
      </w:r>
      <w:r w:rsidR="00E905DD" w:rsidRPr="007E5703">
        <w:rPr>
          <w:color w:val="500050"/>
          <w:lang w:eastAsia="ja-JP"/>
        </w:rPr>
        <w:t>rt. 21(6)</w:t>
      </w:r>
      <w:r w:rsidR="00D5781E">
        <w:rPr>
          <w:color w:val="500050"/>
          <w:lang w:eastAsia="ja-JP"/>
        </w:rPr>
        <w:t>)</w:t>
      </w:r>
      <w:r w:rsidR="00E905DD" w:rsidRPr="007E5703">
        <w:rPr>
          <w:color w:val="500050"/>
          <w:lang w:eastAsia="ja-JP"/>
        </w:rPr>
        <w:t xml:space="preserve"> </w:t>
      </w:r>
      <w:r w:rsidR="00D5781E">
        <w:rPr>
          <w:color w:val="500050"/>
          <w:lang w:eastAsia="ja-JP"/>
        </w:rPr>
        <w:t xml:space="preserve">has a </w:t>
      </w:r>
      <w:r>
        <w:rPr>
          <w:color w:val="500050"/>
          <w:lang w:eastAsia="ja-JP"/>
        </w:rPr>
        <w:t xml:space="preserve">special </w:t>
      </w:r>
      <w:r w:rsidR="00D5781E">
        <w:rPr>
          <w:color w:val="500050"/>
          <w:lang w:eastAsia="ja-JP"/>
        </w:rPr>
        <w:t>proviso that</w:t>
      </w:r>
      <w:r w:rsidR="00E905DD" w:rsidRPr="007E5703">
        <w:rPr>
          <w:color w:val="500050"/>
          <w:lang w:eastAsia="ja-JP"/>
        </w:rPr>
        <w:t xml:space="preserve"> that</w:t>
      </w:r>
      <w:r w:rsidR="007C167E">
        <w:rPr>
          <w:color w:val="500050"/>
          <w:lang w:eastAsia="ja-JP"/>
        </w:rPr>
        <w:t>, where there is processing for ARS purposes</w:t>
      </w:r>
      <w:r w:rsidR="00E905DD" w:rsidRPr="007E5703">
        <w:rPr>
          <w:rFonts w:eastAsia="Times New Roman"/>
        </w:rPr>
        <w:t xml:space="preserve">, </w:t>
      </w:r>
      <w:r w:rsidR="007C167E">
        <w:rPr>
          <w:rFonts w:eastAsia="Times New Roman"/>
        </w:rPr>
        <w:t>‘</w:t>
      </w:r>
      <w:r w:rsidR="00E905DD" w:rsidRPr="007E5703">
        <w:rPr>
          <w:rFonts w:eastAsia="Times New Roman"/>
        </w:rPr>
        <w:t>the data subject, on grounds relating to his or her particular situation, shall have the right to object to processing of personal data concerning him or her, unless the processing is necessary for the performance of a task carried out for reasons of public interest.’</w:t>
      </w:r>
    </w:p>
    <w:p w14:paraId="59C53A38" w14:textId="3566CF77" w:rsidR="007E5703" w:rsidRPr="007E5703" w:rsidRDefault="00E00C09" w:rsidP="007E5703">
      <w:pPr>
        <w:pStyle w:val="ListParagraph"/>
        <w:numPr>
          <w:ilvl w:val="0"/>
          <w:numId w:val="13"/>
        </w:numPr>
        <w:rPr>
          <w:rFonts w:eastAsia="Times New Roman"/>
        </w:rPr>
      </w:pPr>
      <w:r>
        <w:rPr>
          <w:rFonts w:eastAsia="Times New Roman"/>
        </w:rPr>
        <w:t xml:space="preserve">The limitations on automated processing (art. 22) will apply, without any provisions for derogation. In any event, processing for ARS uses is not consistent with </w:t>
      </w:r>
      <w:r w:rsidR="00D93C12">
        <w:rPr>
          <w:rFonts w:eastAsia="Times New Roman"/>
        </w:rPr>
        <w:t>use of data to make decisions about individuals.</w:t>
      </w:r>
    </w:p>
    <w:p w14:paraId="334A076A" w14:textId="260A9AD9" w:rsidR="00DA2974" w:rsidRDefault="00CC4DAB" w:rsidP="00DA2974">
      <w:pPr>
        <w:pStyle w:val="Heading2"/>
        <w:rPr>
          <w:lang w:val="en-US" w:eastAsia="ja-JP"/>
        </w:rPr>
      </w:pPr>
      <w:r>
        <w:rPr>
          <w:lang w:val="en-US" w:eastAsia="ja-JP"/>
        </w:rPr>
        <w:t>Is commercial ‘scientific research’</w:t>
      </w:r>
      <w:r w:rsidR="00DA2974">
        <w:rPr>
          <w:lang w:val="en-US" w:eastAsia="ja-JP"/>
        </w:rPr>
        <w:t xml:space="preserve"> by private companies permitted as </w:t>
      </w:r>
      <w:r w:rsidR="004E13C0">
        <w:rPr>
          <w:lang w:val="en-US" w:eastAsia="ja-JP"/>
        </w:rPr>
        <w:t>ARS</w:t>
      </w:r>
      <w:r w:rsidR="00DA2974">
        <w:rPr>
          <w:lang w:val="en-US" w:eastAsia="ja-JP"/>
        </w:rPr>
        <w:t xml:space="preserve"> uses?</w:t>
      </w:r>
    </w:p>
    <w:p w14:paraId="3D28923B" w14:textId="3AF57A50" w:rsidR="00631DDF" w:rsidRPr="003C2288" w:rsidRDefault="00631DDF" w:rsidP="00FD67FE">
      <w:pPr>
        <w:rPr>
          <w:lang w:val="en-US" w:eastAsia="ja-JP"/>
        </w:rPr>
      </w:pPr>
      <w:r>
        <w:t xml:space="preserve">The processing must first qualify as ‘scientific research’. </w:t>
      </w:r>
      <w:r w:rsidR="00827905">
        <w:t xml:space="preserve">The test of what is scientific research should require that research is the purpose of the processing. It is not enough that the processing uses ‘scientific methods’. </w:t>
      </w:r>
      <w:r w:rsidR="00AA4034">
        <w:t xml:space="preserve"> </w:t>
      </w:r>
      <w:proofErr w:type="gramStart"/>
      <w:r w:rsidR="00AA4034">
        <w:t>As the EDPS puts it ‘</w:t>
      </w:r>
      <w:r w:rsidR="00AA4034" w:rsidRPr="00AA4034">
        <w:t>For a controller to simply claim to process data for the purposes of scientific research is not sufficient</w:t>
      </w:r>
      <w:r w:rsidR="00AA4034">
        <w:t>’</w:t>
      </w:r>
      <w:r w:rsidR="00AA4034">
        <w:rPr>
          <w:rStyle w:val="FootnoteReference"/>
          <w:color w:val="222222"/>
        </w:rPr>
        <w:footnoteReference w:id="6"/>
      </w:r>
      <w:r w:rsidR="00721BA2">
        <w:t>.</w:t>
      </w:r>
      <w:proofErr w:type="gramEnd"/>
      <w:r w:rsidR="00721BA2">
        <w:t xml:space="preserve"> EDPS follows the former </w:t>
      </w:r>
      <w:r w:rsidR="00AA4034" w:rsidRPr="00AA4034">
        <w:t xml:space="preserve">Article 29 Working </w:t>
      </w:r>
      <w:proofErr w:type="gramStart"/>
      <w:r w:rsidR="00AA4034" w:rsidRPr="00AA4034">
        <w:t>Party</w:t>
      </w:r>
      <w:r w:rsidR="00721BA2">
        <w:t xml:space="preserve"> which</w:t>
      </w:r>
      <w:proofErr w:type="gramEnd"/>
      <w:r w:rsidR="00AA4034" w:rsidRPr="00AA4034">
        <w:t>, in its guidelines on consent, understood scientific research as a ‘research project set up in accordance with relevant sector-related methodo</w:t>
      </w:r>
      <w:r w:rsidR="00721BA2">
        <w:t>logical and ethical standards’</w:t>
      </w:r>
      <w:r w:rsidR="009F3C7E">
        <w:t>, which would normally require ‘</w:t>
      </w:r>
      <w:r w:rsidR="009F3C7E" w:rsidRPr="009F3C7E">
        <w:t>informed consent, accountability and oversight</w:t>
      </w:r>
      <w:r w:rsidR="009F3C7E">
        <w:t>’.</w:t>
      </w:r>
      <w:r w:rsidR="009F3C7E" w:rsidRPr="009F3C7E">
        <w:t xml:space="preserve"> </w:t>
      </w:r>
      <w:r w:rsidR="003C2288">
        <w:t xml:space="preserve"> </w:t>
      </w:r>
      <w:r w:rsidR="00AA4034" w:rsidRPr="00AA4034">
        <w:rPr>
          <w:lang w:val="en-US" w:eastAsia="ja-JP"/>
        </w:rPr>
        <w:t xml:space="preserve">Under this approach, only scientific research performed within an established ethical framework would therefore qualify as activities falling within the </w:t>
      </w:r>
      <w:r w:rsidR="009F3C7E">
        <w:rPr>
          <w:lang w:val="en-US" w:eastAsia="ja-JP"/>
        </w:rPr>
        <w:t xml:space="preserve">GDPR’s </w:t>
      </w:r>
      <w:r w:rsidR="00AA4034" w:rsidRPr="00AA4034">
        <w:rPr>
          <w:lang w:val="en-US" w:eastAsia="ja-JP"/>
        </w:rPr>
        <w:t>special data protection regime</w:t>
      </w:r>
      <w:r w:rsidR="009F3C7E">
        <w:rPr>
          <w:lang w:val="en-US" w:eastAsia="ja-JP"/>
        </w:rPr>
        <w:t xml:space="preserve"> for scientific research. </w:t>
      </w:r>
    </w:p>
    <w:p w14:paraId="620F1A11" w14:textId="258DA4A1" w:rsidR="00E640CB" w:rsidRDefault="00DA2974" w:rsidP="00FD67FE">
      <w:pPr>
        <w:rPr>
          <w:color w:val="222222"/>
          <w:lang w:val="en-US" w:eastAsia="ja-JP"/>
        </w:rPr>
      </w:pPr>
      <w:r>
        <w:t>GDPR Recital 159 refers to ‘</w:t>
      </w:r>
      <w:r>
        <w:rPr>
          <w:rFonts w:eastAsia="Times New Roman"/>
        </w:rPr>
        <w:t>privately funded research’ as part of ‘scientific research’,</w:t>
      </w:r>
      <w:r w:rsidR="000E12DC">
        <w:rPr>
          <w:rStyle w:val="FootnoteReference"/>
          <w:rFonts w:eastAsia="Times New Roman"/>
        </w:rPr>
        <w:footnoteReference w:id="7"/>
      </w:r>
      <w:r>
        <w:rPr>
          <w:rFonts w:eastAsia="Times New Roman"/>
        </w:rPr>
        <w:t xml:space="preserve"> while saying this should be ‘interpreted in a broad manner’. It does not explicitly refer to</w:t>
      </w:r>
      <w:r>
        <w:t xml:space="preserve">  </w:t>
      </w:r>
      <w:r w:rsidRPr="0006716B">
        <w:t>‘</w:t>
      </w:r>
      <w:r w:rsidRPr="0006716B">
        <w:rPr>
          <w:color w:val="222222"/>
          <w:lang w:val="en-US" w:eastAsia="ja-JP"/>
        </w:rPr>
        <w:t>private sector invested research’</w:t>
      </w:r>
      <w:r>
        <w:rPr>
          <w:color w:val="222222"/>
          <w:lang w:val="en-US" w:eastAsia="ja-JP"/>
        </w:rPr>
        <w:t xml:space="preserve"> or research by the private sector.  </w:t>
      </w:r>
      <w:r w:rsidR="005B488C" w:rsidRPr="005B488C">
        <w:rPr>
          <w:color w:val="222222"/>
          <w:lang w:val="en-US" w:eastAsia="ja-JP"/>
        </w:rPr>
        <w:t xml:space="preserve"> </w:t>
      </w:r>
      <w:r w:rsidR="005B488C">
        <w:rPr>
          <w:color w:val="222222"/>
          <w:lang w:val="en-US" w:eastAsia="ja-JP"/>
        </w:rPr>
        <w:t>However, the EDPS concludes that ‘</w:t>
      </w:r>
      <w:r w:rsidR="005B488C" w:rsidRPr="005B488C">
        <w:rPr>
          <w:color w:val="222222"/>
          <w:lang w:val="en-US" w:eastAsia="ja-JP"/>
        </w:rPr>
        <w:t>profit-seeking commercial companies can carry out scientific research</w:t>
      </w:r>
      <w:r w:rsidR="005B488C">
        <w:rPr>
          <w:color w:val="222222"/>
          <w:lang w:val="en-US" w:eastAsia="ja-JP"/>
        </w:rPr>
        <w:t>’ for GDPR purposes.</w:t>
      </w:r>
      <w:r w:rsidR="005B488C">
        <w:rPr>
          <w:rStyle w:val="FootnoteReference"/>
          <w:color w:val="222222"/>
          <w:lang w:val="en-US" w:eastAsia="ja-JP"/>
        </w:rPr>
        <w:footnoteReference w:id="8"/>
      </w:r>
    </w:p>
    <w:p w14:paraId="35A139D3" w14:textId="21615A2B" w:rsidR="0041066E" w:rsidRPr="00FD67FE" w:rsidRDefault="00DA2974" w:rsidP="00FD67FE">
      <w:r>
        <w:rPr>
          <w:color w:val="222222"/>
          <w:lang w:val="en-US" w:eastAsia="ja-JP"/>
        </w:rPr>
        <w:t xml:space="preserve">In both </w:t>
      </w:r>
      <w:r w:rsidR="00CC4DAB">
        <w:rPr>
          <w:color w:val="222222"/>
          <w:lang w:val="en-US" w:eastAsia="ja-JP"/>
        </w:rPr>
        <w:t>the GDPR articles and recitals,</w:t>
      </w:r>
      <w:r>
        <w:rPr>
          <w:color w:val="222222"/>
          <w:lang w:val="en-US" w:eastAsia="ja-JP"/>
        </w:rPr>
        <w:t xml:space="preserve"> the meaning of ‘scientific research’ is not very clear, but it would probably be limited to processing which is primarily for the purpose of research, and not primarily for some other purpose (such as routine commercial processes) and only incidentally for research.</w:t>
      </w:r>
      <w:r w:rsidR="0004156F">
        <w:rPr>
          <w:color w:val="222222"/>
          <w:lang w:val="en-US" w:eastAsia="ja-JP"/>
        </w:rPr>
        <w:t xml:space="preserve"> </w:t>
      </w:r>
      <w:r w:rsidR="004E6B7C">
        <w:rPr>
          <w:color w:val="222222"/>
          <w:lang w:val="en-US" w:eastAsia="ja-JP"/>
        </w:rPr>
        <w:t>As the EDPS concludes</w:t>
      </w:r>
      <w:r w:rsidR="00080BBA">
        <w:rPr>
          <w:color w:val="222222"/>
          <w:lang w:val="en-US" w:eastAsia="ja-JP"/>
        </w:rPr>
        <w:t>,</w:t>
      </w:r>
      <w:r w:rsidR="004E6B7C">
        <w:rPr>
          <w:color w:val="222222"/>
          <w:lang w:val="en-US" w:eastAsia="ja-JP"/>
        </w:rPr>
        <w:t xml:space="preserve"> ‘</w:t>
      </w:r>
      <w:r w:rsidR="004E6B7C" w:rsidRPr="004E6B7C">
        <w:rPr>
          <w:color w:val="222222"/>
          <w:lang w:val="en-US" w:eastAsia="ja-JP"/>
        </w:rPr>
        <w:t>the research is carried out with the aim of growing society’s collective knowledge and wellbeing, as opposed to serving primarily one or several private interests</w:t>
      </w:r>
      <w:r w:rsidR="004E6B7C">
        <w:rPr>
          <w:color w:val="222222"/>
          <w:lang w:val="en-US" w:eastAsia="ja-JP"/>
        </w:rPr>
        <w:t>’.</w:t>
      </w:r>
      <w:r w:rsidR="004E6B7C">
        <w:rPr>
          <w:rStyle w:val="FootnoteReference"/>
          <w:color w:val="222222"/>
          <w:lang w:val="en-US" w:eastAsia="ja-JP"/>
        </w:rPr>
        <w:footnoteReference w:id="9"/>
      </w:r>
      <w:r w:rsidR="004E6B7C" w:rsidRPr="004E6B7C">
        <w:rPr>
          <w:color w:val="222222"/>
          <w:lang w:val="en-US" w:eastAsia="ja-JP"/>
        </w:rPr>
        <w:t xml:space="preserve"> </w:t>
      </w:r>
    </w:p>
    <w:p w14:paraId="5D45CE86" w14:textId="41FBD7A6" w:rsidR="00671318" w:rsidRDefault="00FB7ECF" w:rsidP="00FB7ECF">
      <w:pPr>
        <w:pStyle w:val="Heading2"/>
      </w:pPr>
      <w:r>
        <w:t xml:space="preserve">Safeguards are necessary for </w:t>
      </w:r>
      <w:r w:rsidR="004E13C0">
        <w:t>ARS</w:t>
      </w:r>
      <w:r>
        <w:t xml:space="preserve"> uses</w:t>
      </w:r>
      <w:r w:rsidR="008A4609">
        <w:t>, based on ‘data minimisation’</w:t>
      </w:r>
    </w:p>
    <w:p w14:paraId="27D420A6" w14:textId="68D174B0" w:rsidR="002B1C05" w:rsidRPr="002B1C05" w:rsidRDefault="002B1C05" w:rsidP="002B1C05">
      <w:r>
        <w:t xml:space="preserve">‘Data minimisation’ is the key element of safeguards. </w:t>
      </w:r>
      <w:r w:rsidRPr="002B1C05">
        <w:rPr>
          <w:color w:val="500050"/>
          <w:lang w:eastAsia="ja-JP"/>
        </w:rPr>
        <w:t xml:space="preserve">Recitals 156-163 give details of the intentions of the GDPR in relation to </w:t>
      </w:r>
      <w:r w:rsidRPr="002B1C05">
        <w:rPr>
          <w:color w:val="500050"/>
          <w:lang w:val="en-US" w:eastAsia="ja-JP"/>
        </w:rPr>
        <w:t xml:space="preserve">processing for </w:t>
      </w:r>
      <w:r w:rsidR="009D4EB9">
        <w:rPr>
          <w:color w:val="500050"/>
          <w:lang w:eastAsia="ja-JP"/>
        </w:rPr>
        <w:t>ARS</w:t>
      </w:r>
      <w:r w:rsidRPr="002B1C05">
        <w:rPr>
          <w:color w:val="500050"/>
          <w:lang w:eastAsia="ja-JP"/>
        </w:rPr>
        <w:t xml:space="preserve"> uses. ‘</w:t>
      </w:r>
      <w:r w:rsidRPr="002B1C05">
        <w:rPr>
          <w:rFonts w:eastAsia="Times New Roman"/>
        </w:rPr>
        <w:t>Member States should [provide] specifications and derogations with regard to the information requirements and rights to rectification, to erasure, to be forgotten, to restriction of processing, to data portability, and to object … [including] specific procedures for data subjects to exercise those rights if this is appropriate … along with technical and organisational measures aimed at minimising the processing of personal data in pursuance of the proportionality and necessity principles’ (Recital 156)</w:t>
      </w:r>
      <w:r>
        <w:rPr>
          <w:color w:val="500050"/>
          <w:lang w:val="en-US" w:eastAsia="ja-JP"/>
        </w:rPr>
        <w:t>.</w:t>
      </w:r>
    </w:p>
    <w:p w14:paraId="4E772917" w14:textId="388C900D" w:rsidR="000E12DC" w:rsidRDefault="00FB7ECF" w:rsidP="00FB7ECF">
      <w:proofErr w:type="spellStart"/>
      <w:r>
        <w:t>Pseudonymisation</w:t>
      </w:r>
      <w:proofErr w:type="spellEnd"/>
      <w:r>
        <w:t xml:space="preserve"> is mentioned, but </w:t>
      </w:r>
      <w:r w:rsidR="00D93C12">
        <w:t xml:space="preserve">is </w:t>
      </w:r>
      <w:r>
        <w:t>not necessarily sufficient</w:t>
      </w:r>
      <w:r w:rsidR="00B378FD">
        <w:t xml:space="preserve">. </w:t>
      </w:r>
      <w:r w:rsidR="000E12DC" w:rsidRPr="000E12DC">
        <w:rPr>
          <w:color w:val="500050"/>
          <w:lang w:val="en-US" w:eastAsia="ja-JP"/>
        </w:rPr>
        <w:t xml:space="preserve">Art.  89(1)(1), which provides that the safeguards provided in processing for </w:t>
      </w:r>
      <w:r w:rsidR="00EC1568">
        <w:rPr>
          <w:color w:val="500050"/>
          <w:lang w:eastAsia="ja-JP"/>
        </w:rPr>
        <w:t>ARS</w:t>
      </w:r>
      <w:r w:rsidR="000E12DC" w:rsidRPr="000E12DC">
        <w:rPr>
          <w:color w:val="500050"/>
          <w:lang w:eastAsia="ja-JP"/>
        </w:rPr>
        <w:t xml:space="preserve"> uses ‘</w:t>
      </w:r>
      <w:r w:rsidR="000E12DC" w:rsidRPr="000E12DC">
        <w:rPr>
          <w:rFonts w:eastAsia="Times New Roman"/>
        </w:rPr>
        <w:t xml:space="preserve">may include </w:t>
      </w:r>
      <w:proofErr w:type="spellStart"/>
      <w:r w:rsidR="000E12DC" w:rsidRPr="000E12DC">
        <w:rPr>
          <w:rFonts w:eastAsia="Times New Roman"/>
        </w:rPr>
        <w:t>pseudonymisation</w:t>
      </w:r>
      <w:proofErr w:type="spellEnd"/>
      <w:r w:rsidR="000E12DC" w:rsidRPr="000E12DC">
        <w:rPr>
          <w:rFonts w:eastAsia="Times New Roman"/>
        </w:rPr>
        <w:t xml:space="preserve">’ if that will allow the purposes of the processing to be fulfilled, but it also provides that ‘Where those purposes can be fulfilled by further processing which does not permit or no longer permits the identification of data subjects, those purposes </w:t>
      </w:r>
      <w:r w:rsidR="000E12DC" w:rsidRPr="000E12DC">
        <w:rPr>
          <w:rFonts w:eastAsia="Times New Roman"/>
          <w:b/>
        </w:rPr>
        <w:t>shall</w:t>
      </w:r>
      <w:r w:rsidR="000E12DC" w:rsidRPr="000E12DC">
        <w:rPr>
          <w:rFonts w:eastAsia="Times New Roman"/>
        </w:rPr>
        <w:t xml:space="preserve"> be fulfilled in that manner.’ In other words, if </w:t>
      </w:r>
      <w:r w:rsidR="000E12DC" w:rsidRPr="000E12DC">
        <w:rPr>
          <w:rFonts w:eastAsia="Times New Roman"/>
          <w:b/>
        </w:rPr>
        <w:t xml:space="preserve">complete </w:t>
      </w:r>
      <w:proofErr w:type="spellStart"/>
      <w:r w:rsidR="000E12DC" w:rsidRPr="000E12DC">
        <w:rPr>
          <w:rFonts w:eastAsia="Times New Roman"/>
          <w:b/>
        </w:rPr>
        <w:t>anonymisation</w:t>
      </w:r>
      <w:proofErr w:type="spellEnd"/>
      <w:r w:rsidR="000E12DC" w:rsidRPr="000E12DC">
        <w:rPr>
          <w:rFonts w:eastAsia="Times New Roman"/>
        </w:rPr>
        <w:t xml:space="preserve"> can fulfil the purposes of processing, it must be used, not just </w:t>
      </w:r>
      <w:proofErr w:type="spellStart"/>
      <w:r w:rsidR="000E12DC" w:rsidRPr="000E12DC">
        <w:rPr>
          <w:rFonts w:eastAsia="Times New Roman"/>
        </w:rPr>
        <w:t>pseudonymisation</w:t>
      </w:r>
      <w:proofErr w:type="spellEnd"/>
      <w:r w:rsidR="000E12DC" w:rsidRPr="000E12DC">
        <w:rPr>
          <w:rFonts w:eastAsia="Times New Roman"/>
        </w:rPr>
        <w:t>.</w:t>
      </w:r>
    </w:p>
    <w:p w14:paraId="4D925D6B" w14:textId="70C3E487" w:rsidR="008A4609" w:rsidRDefault="008A4609" w:rsidP="009F3467">
      <w:pPr>
        <w:pStyle w:val="Heading2"/>
      </w:pPr>
      <w:r>
        <w:t>How is disclosure to third parties</w:t>
      </w:r>
      <w:r w:rsidR="001515D0">
        <w:t>, or publication,</w:t>
      </w:r>
      <w:r>
        <w:t xml:space="preserve"> justified</w:t>
      </w:r>
      <w:r w:rsidR="004E13C0">
        <w:t xml:space="preserve"> as ARS uses</w:t>
      </w:r>
      <w:r>
        <w:t>?</w:t>
      </w:r>
    </w:p>
    <w:p w14:paraId="6179014D" w14:textId="4A07D36C" w:rsidR="00B53CE2" w:rsidRDefault="00F23EC1" w:rsidP="0060155D">
      <w:r>
        <w:rPr>
          <w:lang w:val="en-US" w:eastAsia="ja-JP"/>
        </w:rPr>
        <w:t xml:space="preserve">The GDPR’s definition of ‘processing’ includes disclosures to third parties, but this is not dispositive. Processing of personal data for </w:t>
      </w:r>
      <w:r w:rsidR="0060155D">
        <w:rPr>
          <w:lang w:eastAsia="ja-JP"/>
        </w:rPr>
        <w:t>ARS</w:t>
      </w:r>
      <w:r>
        <w:rPr>
          <w:lang w:eastAsia="ja-JP"/>
        </w:rPr>
        <w:t xml:space="preserve"> uses must </w:t>
      </w:r>
      <w:r w:rsidR="008C04CB">
        <w:rPr>
          <w:lang w:eastAsia="ja-JP"/>
        </w:rPr>
        <w:t>meet other criteria which disclosure to third parties might not satisfy</w:t>
      </w:r>
      <w:r w:rsidR="00387756">
        <w:rPr>
          <w:lang w:eastAsia="ja-JP"/>
        </w:rPr>
        <w:t>.</w:t>
      </w:r>
      <w:r w:rsidR="0060155D">
        <w:t xml:space="preserve"> </w:t>
      </w:r>
      <w:r w:rsidR="00FB7ECF" w:rsidRPr="0060155D">
        <w:rPr>
          <w:b/>
        </w:rPr>
        <w:t>Disclosure</w:t>
      </w:r>
      <w:r w:rsidR="00FB7ECF">
        <w:t xml:space="preserve"> of </w:t>
      </w:r>
      <w:proofErr w:type="spellStart"/>
      <w:r w:rsidR="00FB7ECF">
        <w:t>pseudonymised</w:t>
      </w:r>
      <w:proofErr w:type="spellEnd"/>
      <w:r w:rsidR="00FB7ECF">
        <w:t xml:space="preserve"> data to third parties increases the risk </w:t>
      </w:r>
      <w:r w:rsidR="0060155D">
        <w:t>of misuse / data breaches, and therefore fail</w:t>
      </w:r>
      <w:r w:rsidR="00387756">
        <w:t>s</w:t>
      </w:r>
      <w:r w:rsidR="0060155D">
        <w:t xml:space="preserve"> to provide sufficient safeguards.  </w:t>
      </w:r>
      <w:r w:rsidR="009F3467">
        <w:t xml:space="preserve">For whose purpose </w:t>
      </w:r>
      <w:r w:rsidR="002C4988">
        <w:t>(</w:t>
      </w:r>
      <w:r w:rsidR="0060155D">
        <w:t>which</w:t>
      </w:r>
      <w:r w:rsidR="002C4988">
        <w:t xml:space="preserve"> must be a</w:t>
      </w:r>
      <w:r w:rsidR="004E13C0">
        <w:t>n ARS</w:t>
      </w:r>
      <w:r w:rsidR="002C4988">
        <w:t xml:space="preserve"> purpose) </w:t>
      </w:r>
      <w:r w:rsidR="009F3467">
        <w:t xml:space="preserve">is the disclosure </w:t>
      </w:r>
      <w:r w:rsidR="002C4988">
        <w:t>occur</w:t>
      </w:r>
      <w:r w:rsidR="00EC1568">
        <w:t>ring? I</w:t>
      </w:r>
      <w:r w:rsidR="002C4988">
        <w:t>t must be the purpose of the data controller, not the third party</w:t>
      </w:r>
      <w:r w:rsidR="008418C6">
        <w:t>. T</w:t>
      </w:r>
      <w:r w:rsidR="00CC0797">
        <w:t>he receiving third par</w:t>
      </w:r>
      <w:r w:rsidR="008418C6">
        <w:t xml:space="preserve">ty would need its own new lawful </w:t>
      </w:r>
      <w:r w:rsidR="00CC0797">
        <w:t xml:space="preserve">basis for the processing, under art. </w:t>
      </w:r>
      <w:proofErr w:type="gramStart"/>
      <w:r w:rsidR="00BF2894">
        <w:t>6</w:t>
      </w:r>
      <w:r w:rsidR="00CC0797">
        <w:t>(1)</w:t>
      </w:r>
      <w:r w:rsidR="00387756">
        <w:t xml:space="preserve"> as initial processing, not</w:t>
      </w:r>
      <w:r w:rsidR="00BF2894">
        <w:t xml:space="preserve"> as</w:t>
      </w:r>
      <w:r w:rsidR="00387756">
        <w:t xml:space="preserve"> further processing</w:t>
      </w:r>
      <w:r w:rsidR="00BF2894">
        <w:t xml:space="preserve"> under art.</w:t>
      </w:r>
      <w:proofErr w:type="gramEnd"/>
      <w:r w:rsidR="00BF2894">
        <w:t xml:space="preserve"> </w:t>
      </w:r>
      <w:proofErr w:type="gramStart"/>
      <w:r w:rsidR="00BF2894">
        <w:t>6(4)</w:t>
      </w:r>
      <w:r w:rsidR="00387756">
        <w:t>.</w:t>
      </w:r>
      <w:proofErr w:type="gramEnd"/>
    </w:p>
    <w:p w14:paraId="38C3C42E" w14:textId="2358CADC" w:rsidR="001515D0" w:rsidRDefault="001515D0" w:rsidP="0060155D">
      <w:r w:rsidRPr="0060155D">
        <w:rPr>
          <w:b/>
        </w:rPr>
        <w:t>Publication</w:t>
      </w:r>
      <w:r>
        <w:t xml:space="preserve"> of </w:t>
      </w:r>
      <w:proofErr w:type="spellStart"/>
      <w:r>
        <w:t>pseu</w:t>
      </w:r>
      <w:r w:rsidR="005C2511">
        <w:t>donymised</w:t>
      </w:r>
      <w:proofErr w:type="spellEnd"/>
      <w:r w:rsidR="005C2511">
        <w:t xml:space="preserve"> data is too dangerous, because the subsequent</w:t>
      </w:r>
      <w:r>
        <w:t xml:space="preserve"> uses are uncontrollable</w:t>
      </w:r>
      <w:r w:rsidR="005C2511">
        <w:t>, and the risks of subsequent re-identification are not preventable.</w:t>
      </w:r>
      <w:r>
        <w:t xml:space="preserve"> </w:t>
      </w:r>
      <w:r w:rsidR="005C2511">
        <w:t xml:space="preserve">Publication of pseudonymous data cannot ever satisfy art. 89. </w:t>
      </w:r>
    </w:p>
    <w:p w14:paraId="6F0A7467" w14:textId="372A3A7E" w:rsidR="00622547" w:rsidRDefault="00622547" w:rsidP="00622547">
      <w:pPr>
        <w:pStyle w:val="Heading2"/>
      </w:pPr>
      <w:r>
        <w:t xml:space="preserve">Can databases be linked by pseudonyms for </w:t>
      </w:r>
      <w:r w:rsidR="004E13C0">
        <w:t>ARS</w:t>
      </w:r>
      <w:r>
        <w:t xml:space="preserve"> uses?</w:t>
      </w:r>
    </w:p>
    <w:p w14:paraId="6FD9FE37" w14:textId="41073107" w:rsidR="009F515A" w:rsidRPr="00854DB5" w:rsidRDefault="00B53CE2" w:rsidP="00854DB5">
      <w:pPr>
        <w:rPr>
          <w:rFonts w:eastAsia="Times New Roman"/>
        </w:rPr>
      </w:pPr>
      <w:r>
        <w:t xml:space="preserve">The GDPR does not address specifically the use of pseudonyms to link databases in relation to </w:t>
      </w:r>
      <w:r w:rsidRPr="006A463D">
        <w:t xml:space="preserve">processing for </w:t>
      </w:r>
      <w:r w:rsidR="006F5E60">
        <w:t>ARS</w:t>
      </w:r>
      <w:r w:rsidRPr="006A463D">
        <w:t xml:space="preserve"> </w:t>
      </w:r>
      <w:r w:rsidRPr="00B53CE2">
        <w:rPr>
          <w:color w:val="500050"/>
          <w:lang w:eastAsia="ja-JP"/>
        </w:rPr>
        <w:t>uses.</w:t>
      </w:r>
      <w:r>
        <w:t xml:space="preserve"> Recital 157 refers to ‘</w:t>
      </w:r>
      <w:r w:rsidRPr="00B53CE2">
        <w:rPr>
          <w:rFonts w:eastAsia="Times New Roman"/>
        </w:rPr>
        <w:t xml:space="preserve">coupling information from registries’, </w:t>
      </w:r>
      <w:r w:rsidR="00082652">
        <w:rPr>
          <w:rFonts w:eastAsia="Times New Roman"/>
        </w:rPr>
        <w:t>which implies that this is a reference to linking data in relation to individuals across multiple registries</w:t>
      </w:r>
      <w:r w:rsidRPr="00B53CE2">
        <w:rPr>
          <w:rFonts w:eastAsia="Times New Roman"/>
        </w:rPr>
        <w:t>.</w:t>
      </w:r>
      <w:r w:rsidR="00622547">
        <w:rPr>
          <w:rFonts w:eastAsia="Times New Roman"/>
        </w:rPr>
        <w:t xml:space="preserve"> </w:t>
      </w:r>
      <w:r w:rsidR="009F515A">
        <w:rPr>
          <w:rFonts w:eastAsia="Times New Roman"/>
        </w:rPr>
        <w:t xml:space="preserve">Recital 157 clearly supports such linking, but does not state that it is presumed to be lawful in all cases. </w:t>
      </w:r>
      <w:r w:rsidR="00854DB5" w:rsidRPr="00854DB5">
        <w:rPr>
          <w:rFonts w:eastAsia="Times New Roman"/>
        </w:rPr>
        <w:t xml:space="preserve">How can an art. 5(2) presumption of compatibility </w:t>
      </w:r>
      <w:proofErr w:type="gramStart"/>
      <w:r w:rsidR="00854DB5" w:rsidRPr="00854DB5">
        <w:rPr>
          <w:rFonts w:eastAsia="Times New Roman"/>
        </w:rPr>
        <w:t>operate</w:t>
      </w:r>
      <w:proofErr w:type="gramEnd"/>
      <w:r w:rsidR="00854DB5" w:rsidRPr="00854DB5">
        <w:rPr>
          <w:rFonts w:eastAsia="Times New Roman"/>
        </w:rPr>
        <w:t xml:space="preserve"> when the different databases are collected for different purposes? </w:t>
      </w:r>
      <w:r w:rsidR="00854DB5">
        <w:rPr>
          <w:rFonts w:eastAsia="Times New Roman"/>
        </w:rPr>
        <w:t xml:space="preserve"> The </w:t>
      </w:r>
      <w:r w:rsidR="00854DB5" w:rsidRPr="00854DB5">
        <w:rPr>
          <w:rFonts w:eastAsia="Times New Roman"/>
        </w:rPr>
        <w:t>Art. 6(4) tests of compatibility seem appropriate</w:t>
      </w:r>
      <w:r w:rsidR="00854DB5">
        <w:rPr>
          <w:rFonts w:eastAsia="Times New Roman"/>
        </w:rPr>
        <w:t xml:space="preserve">, or </w:t>
      </w:r>
      <w:proofErr w:type="gramStart"/>
      <w:r w:rsidR="00854DB5">
        <w:rPr>
          <w:rFonts w:eastAsia="Times New Roman"/>
        </w:rPr>
        <w:t>alternatively  a</w:t>
      </w:r>
      <w:proofErr w:type="gramEnd"/>
      <w:r w:rsidR="00854DB5" w:rsidRPr="00854DB5">
        <w:rPr>
          <w:rFonts w:eastAsia="Times New Roman"/>
        </w:rPr>
        <w:t xml:space="preserve"> new art. 6(1) </w:t>
      </w:r>
      <w:r w:rsidR="00854DB5">
        <w:rPr>
          <w:rFonts w:eastAsia="Times New Roman"/>
        </w:rPr>
        <w:t xml:space="preserve">ground of </w:t>
      </w:r>
      <w:r w:rsidR="00854DB5" w:rsidRPr="00854DB5">
        <w:rPr>
          <w:rFonts w:eastAsia="Times New Roman"/>
        </w:rPr>
        <w:t>lawful processing</w:t>
      </w:r>
      <w:r w:rsidR="00854DB5">
        <w:rPr>
          <w:rFonts w:eastAsia="Times New Roman"/>
        </w:rPr>
        <w:t xml:space="preserve"> might be needed. In both cases, </w:t>
      </w:r>
      <w:r w:rsidR="00C659C1">
        <w:rPr>
          <w:rFonts w:eastAsia="Times New Roman"/>
        </w:rPr>
        <w:t>recital 157 would provide support, but compatibility would not be assumed.</w:t>
      </w:r>
    </w:p>
    <w:p w14:paraId="0D5DFCA7" w14:textId="116178F4" w:rsidR="009F3467" w:rsidRDefault="009F515A" w:rsidP="00622547">
      <w:r>
        <w:rPr>
          <w:rFonts w:eastAsia="Times New Roman"/>
        </w:rPr>
        <w:t xml:space="preserve"> </w:t>
      </w:r>
      <w:r w:rsidR="00CB193A">
        <w:t>S</w:t>
      </w:r>
      <w:r w:rsidR="00622547">
        <w:t>uch linkages would probably constitute profiling, even if the data in each registry is pseudonymous, and so all GDPR provisions rel</w:t>
      </w:r>
      <w:r w:rsidR="00756AD0">
        <w:t>ating to profiling would apply, including</w:t>
      </w:r>
      <w:r w:rsidR="000C57BC">
        <w:t xml:space="preserve"> art. </w:t>
      </w:r>
      <w:proofErr w:type="gramStart"/>
      <w:r w:rsidR="000C57BC">
        <w:t>21 on the right to object,</w:t>
      </w:r>
      <w:r w:rsidR="00756AD0">
        <w:t xml:space="preserve"> art.</w:t>
      </w:r>
      <w:proofErr w:type="gramEnd"/>
      <w:r w:rsidR="00756AD0">
        <w:t xml:space="preserve"> 22 on automated processing</w:t>
      </w:r>
      <w:r w:rsidR="000C57BC">
        <w:t xml:space="preserve">, </w:t>
      </w:r>
      <w:r w:rsidR="00D008A4">
        <w:t>and the guidance of the EDPB on profiling (Recital 72)</w:t>
      </w:r>
      <w:proofErr w:type="gramStart"/>
      <w:r w:rsidR="00D008A4">
        <w:t>.</w:t>
      </w:r>
      <w:r w:rsidR="00756AD0">
        <w:t>.</w:t>
      </w:r>
      <w:proofErr w:type="gramEnd"/>
      <w:r w:rsidR="007B5C81">
        <w:t xml:space="preserve"> ARS uses are, however, unlikely to result in breaches of the GDPR.</w:t>
      </w:r>
    </w:p>
    <w:p w14:paraId="286D8E66" w14:textId="6E4FD2BD" w:rsidR="00E36EE2" w:rsidRPr="00AF6EB8" w:rsidRDefault="006C1FE1" w:rsidP="00AF6EB8">
      <w:pPr>
        <w:pStyle w:val="Heading2"/>
      </w:pPr>
      <w:r>
        <w:t xml:space="preserve">Can sensitive data be included in </w:t>
      </w:r>
      <w:r w:rsidR="004E13C0">
        <w:t>ARS</w:t>
      </w:r>
      <w:r>
        <w:t xml:space="preserve"> uses?</w:t>
      </w:r>
    </w:p>
    <w:p w14:paraId="3DA630EF" w14:textId="03DB8597" w:rsidR="006E2FE4" w:rsidRDefault="006C1FE1" w:rsidP="00196548">
      <w:r>
        <w:t>Art. 9(2)(</w:t>
      </w:r>
      <w:r w:rsidR="00366091">
        <w:t>j</w:t>
      </w:r>
      <w:r>
        <w:t>) allows processing of any</w:t>
      </w:r>
      <w:r w:rsidR="005C4595">
        <w:t xml:space="preserve"> type of</w:t>
      </w:r>
      <w:r>
        <w:t xml:space="preserve"> sensitive data for </w:t>
      </w:r>
      <w:r w:rsidR="004E13C0">
        <w:t>ARS</w:t>
      </w:r>
      <w:r>
        <w:t xml:space="preserve"> uses, but only under conditions:</w:t>
      </w:r>
    </w:p>
    <w:p w14:paraId="4E3EBC32" w14:textId="2D78034E" w:rsidR="006C1FE1" w:rsidRDefault="003B4925" w:rsidP="002C0860">
      <w:pPr>
        <w:pStyle w:val="ListParagraph"/>
        <w:numPr>
          <w:ilvl w:val="0"/>
          <w:numId w:val="6"/>
        </w:numPr>
      </w:pPr>
      <w:r w:rsidRPr="0050056F">
        <w:rPr>
          <w:b/>
        </w:rPr>
        <w:t>‘</w:t>
      </w:r>
      <w:proofErr w:type="gramStart"/>
      <w:r w:rsidR="002C0860" w:rsidRPr="0050056F">
        <w:rPr>
          <w:b/>
        </w:rPr>
        <w:t>necessary</w:t>
      </w:r>
      <w:r w:rsidRPr="0050056F">
        <w:rPr>
          <w:b/>
        </w:rPr>
        <w:t>’</w:t>
      </w:r>
      <w:proofErr w:type="gramEnd"/>
      <w:r w:rsidR="002C0860">
        <w:t xml:space="preserve"> for </w:t>
      </w:r>
      <w:r>
        <w:t>ARS</w:t>
      </w:r>
      <w:r w:rsidR="002C0860">
        <w:t xml:space="preserve"> purposes</w:t>
      </w:r>
    </w:p>
    <w:p w14:paraId="76C61D66" w14:textId="11694424" w:rsidR="002C0860" w:rsidRDefault="002C0860" w:rsidP="002C0860">
      <w:pPr>
        <w:pStyle w:val="ListParagraph"/>
        <w:numPr>
          <w:ilvl w:val="0"/>
          <w:numId w:val="6"/>
        </w:numPr>
      </w:pPr>
      <w:proofErr w:type="gramStart"/>
      <w:r>
        <w:t>art</w:t>
      </w:r>
      <w:proofErr w:type="gramEnd"/>
      <w:r>
        <w:t>. 89(1) observed – safeguards (data minimisation)</w:t>
      </w:r>
    </w:p>
    <w:p w14:paraId="6AD89216" w14:textId="2E75773F" w:rsidR="002C0860" w:rsidRDefault="009B67BF" w:rsidP="002C0860">
      <w:pPr>
        <w:pStyle w:val="ListParagraph"/>
        <w:numPr>
          <w:ilvl w:val="0"/>
          <w:numId w:val="6"/>
        </w:numPr>
      </w:pPr>
      <w:r>
        <w:t>‘</w:t>
      </w:r>
      <w:proofErr w:type="gramStart"/>
      <w:r>
        <w:t>shall</w:t>
      </w:r>
      <w:proofErr w:type="gramEnd"/>
      <w:r>
        <w:t xml:space="preserve"> be </w:t>
      </w:r>
      <w:r w:rsidRPr="00F515FD">
        <w:rPr>
          <w:b/>
        </w:rPr>
        <w:t>proportionate</w:t>
      </w:r>
      <w:r>
        <w:t xml:space="preserve"> to the aim pursued’</w:t>
      </w:r>
      <w:r w:rsidR="000D2C01">
        <w:t>;</w:t>
      </w:r>
    </w:p>
    <w:p w14:paraId="1D7E4D7E" w14:textId="491B115A" w:rsidR="00673F35" w:rsidRDefault="009B67BF" w:rsidP="002C0860">
      <w:pPr>
        <w:pStyle w:val="ListParagraph"/>
        <w:numPr>
          <w:ilvl w:val="0"/>
          <w:numId w:val="6"/>
        </w:numPr>
      </w:pPr>
      <w:proofErr w:type="gramStart"/>
      <w:r>
        <w:t>shall</w:t>
      </w:r>
      <w:proofErr w:type="gramEnd"/>
      <w:r>
        <w:t xml:space="preserve"> </w:t>
      </w:r>
      <w:r w:rsidR="000D2C01">
        <w:t>‘</w:t>
      </w:r>
      <w:r w:rsidRPr="00F515FD">
        <w:rPr>
          <w:b/>
        </w:rPr>
        <w:t>respect</w:t>
      </w:r>
      <w:r w:rsidR="00673F35" w:rsidRPr="00F515FD">
        <w:rPr>
          <w:b/>
        </w:rPr>
        <w:t xml:space="preserve"> </w:t>
      </w:r>
      <w:r w:rsidR="000D2C01" w:rsidRPr="00F515FD">
        <w:rPr>
          <w:b/>
        </w:rPr>
        <w:t>the essence</w:t>
      </w:r>
      <w:r w:rsidR="000D2C01">
        <w:t xml:space="preserve"> of the right to data protection’; and </w:t>
      </w:r>
    </w:p>
    <w:p w14:paraId="04262B95" w14:textId="2A135022" w:rsidR="00673F35" w:rsidRDefault="000D2C01" w:rsidP="002C0860">
      <w:pPr>
        <w:pStyle w:val="ListParagraph"/>
        <w:numPr>
          <w:ilvl w:val="0"/>
          <w:numId w:val="6"/>
        </w:numPr>
      </w:pPr>
      <w:proofErr w:type="gramStart"/>
      <w:r>
        <w:t>shall</w:t>
      </w:r>
      <w:proofErr w:type="gramEnd"/>
      <w:r>
        <w:t xml:space="preserve"> ‘provide for suitable and </w:t>
      </w:r>
      <w:r w:rsidR="00673F35">
        <w:t xml:space="preserve">specific </w:t>
      </w:r>
      <w:r w:rsidRPr="000D2C01">
        <w:rPr>
          <w:b/>
        </w:rPr>
        <w:t>measures to safeguard</w:t>
      </w:r>
      <w:r>
        <w:t xml:space="preserve"> the fundamental rights and the interests of the data subject’.</w:t>
      </w:r>
    </w:p>
    <w:p w14:paraId="3095635A" w14:textId="73EB5EAE" w:rsidR="00673F35" w:rsidRDefault="009B67BF" w:rsidP="00CA0B95">
      <w:r>
        <w:t>The l</w:t>
      </w:r>
      <w:r w:rsidR="00673F35">
        <w:t>ast three</w:t>
      </w:r>
      <w:r>
        <w:t xml:space="preserve"> requirements</w:t>
      </w:r>
      <w:r w:rsidR="00673F35">
        <w:t xml:space="preserve"> </w:t>
      </w:r>
      <w:r>
        <w:t>must be implemented in</w:t>
      </w:r>
      <w:r w:rsidR="00673F35">
        <w:t xml:space="preserve"> </w:t>
      </w:r>
      <w:r w:rsidR="003B4925">
        <w:t xml:space="preserve">Member </w:t>
      </w:r>
      <w:r>
        <w:t>State laws (by analogy, Korean laws in this context).</w:t>
      </w:r>
      <w:r w:rsidR="00612C54">
        <w:t xml:space="preserve"> The EDPS also concludes that </w:t>
      </w:r>
      <w:r w:rsidR="00755854">
        <w:t>the GDPR ‘</w:t>
      </w:r>
      <w:r w:rsidR="00755854" w:rsidRPr="00755854">
        <w:rPr>
          <w:lang w:val="en-US"/>
        </w:rPr>
        <w:t>requires adoption of EU or Member State law before the use of special categories of data for research purposes can become fully operational</w:t>
      </w:r>
      <w:r w:rsidR="00755854">
        <w:rPr>
          <w:lang w:val="en-US"/>
        </w:rPr>
        <w:t>’.</w:t>
      </w:r>
      <w:r w:rsidR="00755854">
        <w:rPr>
          <w:rStyle w:val="FootnoteReference"/>
          <w:lang w:val="en-US"/>
        </w:rPr>
        <w:footnoteReference w:id="10"/>
      </w:r>
      <w:r w:rsidR="00116198">
        <w:rPr>
          <w:lang w:val="en-US"/>
        </w:rPr>
        <w:t xml:space="preserve"> The ability to use sensitive data for research does not arise simply from the terms of the GDPR, it requires implementing</w:t>
      </w:r>
      <w:r w:rsidR="004E63A1">
        <w:rPr>
          <w:lang w:val="en-US"/>
        </w:rPr>
        <w:t xml:space="preserve"> EU or</w:t>
      </w:r>
      <w:r w:rsidR="00116198">
        <w:rPr>
          <w:lang w:val="en-US"/>
        </w:rPr>
        <w:t xml:space="preserve"> Member State legislation.</w:t>
      </w:r>
      <w:r w:rsidR="004E63A1">
        <w:rPr>
          <w:lang w:val="en-US"/>
        </w:rPr>
        <w:t xml:space="preserve"> The </w:t>
      </w:r>
      <w:r w:rsidR="001F2D04">
        <w:rPr>
          <w:lang w:val="en-US"/>
        </w:rPr>
        <w:t xml:space="preserve">inclusion </w:t>
      </w:r>
      <w:r w:rsidR="004E63A1">
        <w:rPr>
          <w:lang w:val="en-US"/>
        </w:rPr>
        <w:t xml:space="preserve">of sensitive data </w:t>
      </w:r>
      <w:r w:rsidR="001F2D04">
        <w:rPr>
          <w:lang w:val="en-US"/>
        </w:rPr>
        <w:t>in</w:t>
      </w:r>
      <w:r w:rsidR="004E63A1">
        <w:rPr>
          <w:lang w:val="en-US"/>
        </w:rPr>
        <w:t xml:space="preserve"> ARS uses</w:t>
      </w:r>
      <w:r w:rsidR="001F2D04">
        <w:rPr>
          <w:lang w:val="en-US"/>
        </w:rPr>
        <w:t>, should therefore not be assumed, but explicitly provided for in legislation.</w:t>
      </w:r>
    </w:p>
    <w:p w14:paraId="6EB021D6" w14:textId="2DAAC2F9" w:rsidR="00673F35" w:rsidRDefault="00755854" w:rsidP="00CA0B95">
      <w:r>
        <w:t xml:space="preserve">Use of sensitive data for research therefore </w:t>
      </w:r>
      <w:r w:rsidR="00F515FD">
        <w:t>e</w:t>
      </w:r>
      <w:r w:rsidR="000762E9">
        <w:t>ither requires sep</w:t>
      </w:r>
      <w:r w:rsidR="00AC790F">
        <w:t>arate procedures for sensitive and</w:t>
      </w:r>
      <w:r w:rsidR="000762E9">
        <w:t xml:space="preserve"> non-sensitive data, or non-sensitive </w:t>
      </w:r>
      <w:r w:rsidR="00F515FD">
        <w:t xml:space="preserve">data </w:t>
      </w:r>
      <w:r w:rsidR="000762E9">
        <w:t>must meet the same standard</w:t>
      </w:r>
      <w:r w:rsidR="00F515FD">
        <w:t>s</w:t>
      </w:r>
      <w:r w:rsidR="000762E9">
        <w:t>.</w:t>
      </w:r>
      <w:r w:rsidR="000E3B1B">
        <w:t xml:space="preserve"> The presumed compatibility of ARS processing of sensitive data already collected (art. 5(1)(b)) applies to sensitive data, so that there is no need to satisfy the art. </w:t>
      </w:r>
      <w:proofErr w:type="gramStart"/>
      <w:r w:rsidR="000E3B1B">
        <w:t>6(4) compatibility test.</w:t>
      </w:r>
      <w:proofErr w:type="gramEnd"/>
    </w:p>
    <w:p w14:paraId="41D6B96C" w14:textId="0BC472F6" w:rsidR="000762E9" w:rsidRDefault="00756AD0" w:rsidP="00C14121">
      <w:r>
        <w:t>The r</w:t>
      </w:r>
      <w:r w:rsidR="00AF3953">
        <w:t xml:space="preserve">est of </w:t>
      </w:r>
      <w:r>
        <w:t>the GDPR also applies</w:t>
      </w:r>
      <w:r w:rsidR="00AC790F">
        <w:t xml:space="preserve"> to such uses of sensitive data</w:t>
      </w:r>
      <w:r w:rsidR="00AF3953">
        <w:t xml:space="preserve">, </w:t>
      </w:r>
      <w:r w:rsidR="00D05959">
        <w:t>as discussed previously in relation to other personal data. In addition,</w:t>
      </w:r>
      <w:r w:rsidR="00AF3953">
        <w:t xml:space="preserve"> </w:t>
      </w:r>
      <w:r w:rsidR="00AC790F">
        <w:t>art, 22(4</w:t>
      </w:r>
      <w:r w:rsidR="0069566D">
        <w:t>)</w:t>
      </w:r>
      <w:r w:rsidR="00AC790F">
        <w:t xml:space="preserve"> </w:t>
      </w:r>
      <w:r w:rsidR="00D05959">
        <w:t xml:space="preserve">places </w:t>
      </w:r>
      <w:r w:rsidR="007C38A4">
        <w:t>tight limits on automated processing of sensitive data</w:t>
      </w:r>
      <w:r w:rsidR="000917EC">
        <w:t>, but this should never be relevant to ARS uses.</w:t>
      </w:r>
      <w:r w:rsidR="00BB79EC">
        <w:t xml:space="preserve"> </w:t>
      </w:r>
    </w:p>
    <w:p w14:paraId="4F998A4D" w14:textId="7FC363A4" w:rsidR="0069566D" w:rsidRDefault="0069566D" w:rsidP="0069566D">
      <w:pPr>
        <w:pStyle w:val="Heading2"/>
      </w:pPr>
      <w:r>
        <w:t>Penalties for breach – higher administrative fines</w:t>
      </w:r>
      <w:r w:rsidR="00F002B1">
        <w:t>; compensation</w:t>
      </w:r>
    </w:p>
    <w:p w14:paraId="232C4C5A" w14:textId="6369F524" w:rsidR="007C38A4" w:rsidRPr="007C38A4" w:rsidRDefault="007C38A4" w:rsidP="007C38A4">
      <w:proofErr w:type="gramStart"/>
      <w:r>
        <w:t>Infringement of the requirements</w:t>
      </w:r>
      <w:r w:rsidR="00F002B1">
        <w:t xml:space="preserve"> of art.</w:t>
      </w:r>
      <w:proofErr w:type="gramEnd"/>
      <w:r w:rsidR="00F002B1">
        <w:t xml:space="preserve"> 89 or 9(2)(j)</w:t>
      </w:r>
      <w:r>
        <w:t xml:space="preserve"> may result in the higher level of administrative fines (up to 20M euros or </w:t>
      </w:r>
      <w:r w:rsidR="00EC06EB">
        <w:t>4% of global turnover in the previous financial year, whichever is higher).</w:t>
      </w:r>
      <w:r w:rsidR="000E3363">
        <w:t xml:space="preserve"> Breaches may also result in exposure to possible compensation actions by data subjects.</w:t>
      </w:r>
    </w:p>
    <w:p w14:paraId="759D1EAF" w14:textId="27AF1464" w:rsidR="0069566D" w:rsidRDefault="0069566D" w:rsidP="0069566D">
      <w:pPr>
        <w:pStyle w:val="Heading1"/>
      </w:pPr>
      <w:r>
        <w:t>Conclusions: Korea in EU shoes</w:t>
      </w:r>
    </w:p>
    <w:p w14:paraId="21205A12" w14:textId="72EE515F" w:rsidR="009F2F48" w:rsidRDefault="009F2F48" w:rsidP="009F2F48">
      <w:r>
        <w:t xml:space="preserve">The GDPR does allow </w:t>
      </w:r>
      <w:r w:rsidR="00E30069">
        <w:t>some secondary processing of personal data held by a controller without need to satisfy the ‘compatible uses’ test of art. 6(4)</w:t>
      </w:r>
      <w:r w:rsidR="002E0ABB">
        <w:t xml:space="preserve"> (the ‘presumption of compatibility’</w:t>
      </w:r>
      <w:r w:rsidR="00334D45">
        <w:t>)</w:t>
      </w:r>
      <w:r w:rsidR="00E30069">
        <w:t xml:space="preserve">, but only under </w:t>
      </w:r>
      <w:r w:rsidR="00334D45">
        <w:t xml:space="preserve">various </w:t>
      </w:r>
      <w:r w:rsidR="00E30069">
        <w:t>set</w:t>
      </w:r>
      <w:r w:rsidR="00334D45">
        <w:t>s</w:t>
      </w:r>
      <w:r w:rsidR="00E30069">
        <w:t xml:space="preserve"> of conditions</w:t>
      </w:r>
      <w:r w:rsidR="00334D45">
        <w:t>, and the continuing operation of other provisions of the GDPR</w:t>
      </w:r>
      <w:r w:rsidR="00E30069">
        <w:t>:</w:t>
      </w:r>
    </w:p>
    <w:p w14:paraId="5C8354D0" w14:textId="429FE020" w:rsidR="00CC4DAB" w:rsidRPr="00CC4DAB" w:rsidRDefault="00CC4DAB" w:rsidP="00CC4DAB">
      <w:pPr>
        <w:pStyle w:val="ListParagraph"/>
        <w:numPr>
          <w:ilvl w:val="0"/>
          <w:numId w:val="10"/>
        </w:numPr>
        <w:rPr>
          <w:bCs/>
        </w:rPr>
      </w:pPr>
      <w:r w:rsidRPr="00CC4DAB">
        <w:rPr>
          <w:bCs/>
        </w:rPr>
        <w:t xml:space="preserve">Pseudonymous data is still personal data, and not </w:t>
      </w:r>
      <w:r w:rsidRPr="002E0ABB">
        <w:rPr>
          <w:bCs/>
          <w:i/>
        </w:rPr>
        <w:t>per se</w:t>
      </w:r>
      <w:r w:rsidRPr="00CC4DAB">
        <w:rPr>
          <w:bCs/>
        </w:rPr>
        <w:t xml:space="preserve"> exempt from art. 6(4)</w:t>
      </w:r>
      <w:r>
        <w:rPr>
          <w:bCs/>
        </w:rPr>
        <w:t>;</w:t>
      </w:r>
    </w:p>
    <w:p w14:paraId="682D5A94" w14:textId="13B999AD" w:rsidR="00E30069" w:rsidRDefault="005C4595" w:rsidP="0050056F">
      <w:pPr>
        <w:pStyle w:val="ListParagraph"/>
        <w:numPr>
          <w:ilvl w:val="0"/>
          <w:numId w:val="10"/>
        </w:numPr>
        <w:rPr>
          <w:lang w:eastAsia="ja-JP"/>
        </w:rPr>
      </w:pPr>
      <w:r>
        <w:t>O</w:t>
      </w:r>
      <w:r w:rsidR="00EE54A8">
        <w:t>nly four categories of uses of personal data</w:t>
      </w:r>
      <w:r>
        <w:t xml:space="preserve"> are so exempt</w:t>
      </w:r>
      <w:r w:rsidR="00EE54A8">
        <w:t>:  ‘</w:t>
      </w:r>
      <w:r w:rsidR="00EE54A8" w:rsidRPr="004477C3">
        <w:rPr>
          <w:lang w:eastAsia="ja-JP"/>
        </w:rPr>
        <w:t>archiving purposes in the public interest, scientific or historical research purposes or statistical purposes</w:t>
      </w:r>
      <w:r w:rsidR="00EE54A8">
        <w:rPr>
          <w:lang w:eastAsia="ja-JP"/>
        </w:rPr>
        <w:t xml:space="preserve"> ’(‘ARS uses’)</w:t>
      </w:r>
      <w:r w:rsidR="00182248">
        <w:rPr>
          <w:lang w:eastAsia="ja-JP"/>
        </w:rPr>
        <w:t xml:space="preserve">, with no implied extension to </w:t>
      </w:r>
      <w:r w:rsidR="00885298">
        <w:rPr>
          <w:lang w:eastAsia="ja-JP"/>
        </w:rPr>
        <w:t>similar</w:t>
      </w:r>
      <w:r w:rsidR="00182248">
        <w:rPr>
          <w:lang w:eastAsia="ja-JP"/>
        </w:rPr>
        <w:t xml:space="preserve"> uses (</w:t>
      </w:r>
      <w:r w:rsidR="00A82D03">
        <w:rPr>
          <w:lang w:eastAsia="ja-JP"/>
        </w:rPr>
        <w:t xml:space="preserve">no </w:t>
      </w:r>
      <w:r w:rsidR="00182248">
        <w:rPr>
          <w:lang w:eastAsia="ja-JP"/>
        </w:rPr>
        <w:t>‘</w:t>
      </w:r>
      <w:proofErr w:type="spellStart"/>
      <w:r w:rsidR="00182248">
        <w:rPr>
          <w:lang w:eastAsia="ja-JP"/>
        </w:rPr>
        <w:t>etc</w:t>
      </w:r>
      <w:proofErr w:type="spellEnd"/>
      <w:r w:rsidR="00182248">
        <w:rPr>
          <w:lang w:eastAsia="ja-JP"/>
        </w:rPr>
        <w:t>’)</w:t>
      </w:r>
      <w:r>
        <w:rPr>
          <w:lang w:eastAsia="ja-JP"/>
        </w:rPr>
        <w:t>;</w:t>
      </w:r>
    </w:p>
    <w:p w14:paraId="6F4FB9CB" w14:textId="69ECF24E" w:rsidR="00A66AE7" w:rsidRDefault="00A66AE7" w:rsidP="00A66AE7">
      <w:pPr>
        <w:pStyle w:val="ListParagraph"/>
        <w:numPr>
          <w:ilvl w:val="0"/>
          <w:numId w:val="10"/>
        </w:numPr>
        <w:rPr>
          <w:bCs/>
          <w:lang w:eastAsia="ja-JP"/>
        </w:rPr>
      </w:pPr>
      <w:r w:rsidRPr="00A66AE7">
        <w:rPr>
          <w:bCs/>
          <w:lang w:eastAsia="ja-JP"/>
        </w:rPr>
        <w:t>The GDPR</w:t>
      </w:r>
      <w:r w:rsidR="009B2C8F">
        <w:rPr>
          <w:bCs/>
          <w:lang w:eastAsia="ja-JP"/>
        </w:rPr>
        <w:t>’s provisions</w:t>
      </w:r>
      <w:r w:rsidRPr="00A66AE7">
        <w:rPr>
          <w:bCs/>
          <w:lang w:eastAsia="ja-JP"/>
        </w:rPr>
        <w:t xml:space="preserve"> still appl</w:t>
      </w:r>
      <w:r w:rsidR="009B2C8F">
        <w:rPr>
          <w:bCs/>
          <w:lang w:eastAsia="ja-JP"/>
        </w:rPr>
        <w:t>y</w:t>
      </w:r>
      <w:r w:rsidRPr="00A66AE7">
        <w:rPr>
          <w:bCs/>
          <w:lang w:eastAsia="ja-JP"/>
        </w:rPr>
        <w:t xml:space="preserve"> to ARS uses of </w:t>
      </w:r>
      <w:proofErr w:type="spellStart"/>
      <w:r w:rsidRPr="00A66AE7">
        <w:rPr>
          <w:bCs/>
          <w:lang w:eastAsia="ja-JP"/>
        </w:rPr>
        <w:t>pseudonymised</w:t>
      </w:r>
      <w:proofErr w:type="spellEnd"/>
      <w:r w:rsidRPr="00A66AE7">
        <w:rPr>
          <w:bCs/>
          <w:lang w:eastAsia="ja-JP"/>
        </w:rPr>
        <w:t xml:space="preserve"> data</w:t>
      </w:r>
      <w:r>
        <w:rPr>
          <w:bCs/>
          <w:lang w:eastAsia="ja-JP"/>
        </w:rPr>
        <w:t xml:space="preserve">, </w:t>
      </w:r>
      <w:r w:rsidR="006A2044">
        <w:rPr>
          <w:bCs/>
          <w:lang w:eastAsia="ja-JP"/>
        </w:rPr>
        <w:t xml:space="preserve">with only </w:t>
      </w:r>
      <w:r w:rsidR="00600BB1">
        <w:rPr>
          <w:bCs/>
          <w:lang w:eastAsia="ja-JP"/>
        </w:rPr>
        <w:t xml:space="preserve">four </w:t>
      </w:r>
      <w:r w:rsidR="006A2044">
        <w:rPr>
          <w:bCs/>
          <w:lang w:eastAsia="ja-JP"/>
        </w:rPr>
        <w:t>exceptions:</w:t>
      </w:r>
      <w:r>
        <w:rPr>
          <w:bCs/>
          <w:lang w:eastAsia="ja-JP"/>
        </w:rPr>
        <w:t xml:space="preserve"> </w:t>
      </w:r>
      <w:r w:rsidR="00000301">
        <w:rPr>
          <w:bCs/>
          <w:lang w:eastAsia="ja-JP"/>
        </w:rPr>
        <w:t>no need for a</w:t>
      </w:r>
      <w:r>
        <w:rPr>
          <w:bCs/>
          <w:lang w:eastAsia="ja-JP"/>
        </w:rPr>
        <w:t xml:space="preserve"> </w:t>
      </w:r>
      <w:r w:rsidR="006A2044">
        <w:rPr>
          <w:bCs/>
          <w:lang w:eastAsia="ja-JP"/>
        </w:rPr>
        <w:t xml:space="preserve">separate lawful </w:t>
      </w:r>
      <w:r>
        <w:rPr>
          <w:bCs/>
          <w:lang w:eastAsia="ja-JP"/>
        </w:rPr>
        <w:t xml:space="preserve">basis for processing; </w:t>
      </w:r>
      <w:r w:rsidR="00000301">
        <w:rPr>
          <w:bCs/>
          <w:lang w:eastAsia="ja-JP"/>
        </w:rPr>
        <w:t>longer storage where solely for ARS purposes; and derogations from six rights, only if provided by Member State laws</w:t>
      </w:r>
      <w:r w:rsidR="00C94163">
        <w:rPr>
          <w:bCs/>
          <w:lang w:eastAsia="ja-JP"/>
        </w:rPr>
        <w:t>, and to the extent essential for ARS uses</w:t>
      </w:r>
      <w:r w:rsidR="00600BB1">
        <w:rPr>
          <w:bCs/>
          <w:lang w:eastAsia="ja-JP"/>
        </w:rPr>
        <w:t xml:space="preserve">; </w:t>
      </w:r>
      <w:r w:rsidR="00600BB1">
        <w:t>broad consent can be given for future scientific research purposes</w:t>
      </w:r>
      <w:proofErr w:type="gramStart"/>
      <w:r w:rsidR="00600BB1">
        <w:t>.</w:t>
      </w:r>
      <w:r w:rsidR="005E26C0">
        <w:rPr>
          <w:bCs/>
          <w:lang w:eastAsia="ja-JP"/>
        </w:rPr>
        <w:t>.</w:t>
      </w:r>
      <w:proofErr w:type="gramEnd"/>
    </w:p>
    <w:p w14:paraId="01E7BD7F" w14:textId="3D5837A1" w:rsidR="00B55FE4" w:rsidRDefault="00B55FE4" w:rsidP="00A66AE7">
      <w:pPr>
        <w:pStyle w:val="ListParagraph"/>
        <w:numPr>
          <w:ilvl w:val="0"/>
          <w:numId w:val="10"/>
        </w:numPr>
        <w:rPr>
          <w:bCs/>
          <w:lang w:eastAsia="ja-JP"/>
        </w:rPr>
      </w:pPr>
      <w:r>
        <w:t xml:space="preserve">Any uses of </w:t>
      </w:r>
      <w:proofErr w:type="spellStart"/>
      <w:r>
        <w:t>pseudonymised</w:t>
      </w:r>
      <w:proofErr w:type="spellEnd"/>
      <w:r>
        <w:t xml:space="preserve"> </w:t>
      </w:r>
      <w:proofErr w:type="gramStart"/>
      <w:r>
        <w:t>data which are not ARS uses</w:t>
      </w:r>
      <w:r w:rsidR="00656939">
        <w:t>, including</w:t>
      </w:r>
      <w:proofErr w:type="gramEnd"/>
      <w:r w:rsidR="00656939">
        <w:t xml:space="preserve"> use</w:t>
      </w:r>
      <w:r>
        <w:t xml:space="preserve"> to make </w:t>
      </w:r>
      <w:r w:rsidR="00656939">
        <w:t>decisions affecting individuals, must satisfy the art. 6(4) ‘compatibility test’</w:t>
      </w:r>
      <w:r w:rsidR="00C94163">
        <w:t>.</w:t>
      </w:r>
    </w:p>
    <w:p w14:paraId="1483C9E0" w14:textId="5B097119" w:rsidR="00E249E5" w:rsidRPr="00A66AE7" w:rsidRDefault="00E249E5" w:rsidP="00A66AE7">
      <w:pPr>
        <w:pStyle w:val="ListParagraph"/>
        <w:numPr>
          <w:ilvl w:val="0"/>
          <w:numId w:val="10"/>
        </w:numPr>
        <w:rPr>
          <w:bCs/>
          <w:lang w:eastAsia="ja-JP"/>
        </w:rPr>
      </w:pPr>
      <w:proofErr w:type="gramStart"/>
      <w:r>
        <w:rPr>
          <w:bCs/>
          <w:lang w:eastAsia="ja-JP"/>
        </w:rPr>
        <w:t>Commercially-funded</w:t>
      </w:r>
      <w:proofErr w:type="gramEnd"/>
      <w:r>
        <w:rPr>
          <w:bCs/>
          <w:lang w:eastAsia="ja-JP"/>
        </w:rPr>
        <w:t xml:space="preserve"> scientific research may be allowed, but </w:t>
      </w:r>
      <w:r w:rsidR="00A82D03">
        <w:rPr>
          <w:bCs/>
          <w:lang w:eastAsia="ja-JP"/>
        </w:rPr>
        <w:t xml:space="preserve">is </w:t>
      </w:r>
      <w:r>
        <w:rPr>
          <w:color w:val="222222"/>
          <w:lang w:val="en-US" w:eastAsia="ja-JP"/>
        </w:rPr>
        <w:t xml:space="preserve">limited to processing which is primarily for the purpose of research, not for </w:t>
      </w:r>
      <w:r w:rsidR="0066443A">
        <w:rPr>
          <w:color w:val="222222"/>
          <w:lang w:val="en-US" w:eastAsia="ja-JP"/>
        </w:rPr>
        <w:t xml:space="preserve">primarily </w:t>
      </w:r>
      <w:r>
        <w:rPr>
          <w:color w:val="222222"/>
          <w:lang w:val="en-US" w:eastAsia="ja-JP"/>
        </w:rPr>
        <w:t>commercial p</w:t>
      </w:r>
      <w:r w:rsidR="004C0D6E">
        <w:rPr>
          <w:color w:val="222222"/>
          <w:lang w:val="en-US" w:eastAsia="ja-JP"/>
        </w:rPr>
        <w:t xml:space="preserve">urposes. Use of ‘scientific methods’ </w:t>
      </w:r>
      <w:r w:rsidR="007B3A2E">
        <w:rPr>
          <w:color w:val="222222"/>
          <w:lang w:val="en-US" w:eastAsia="ja-JP"/>
        </w:rPr>
        <w:t>is inadequate, if the research purpose is missing</w:t>
      </w:r>
      <w:r w:rsidR="00C94163">
        <w:rPr>
          <w:color w:val="222222"/>
          <w:lang w:val="en-US" w:eastAsia="ja-JP"/>
        </w:rPr>
        <w:t>.</w:t>
      </w:r>
    </w:p>
    <w:p w14:paraId="5F3116E2" w14:textId="7FA4F7B4" w:rsidR="00FC67E2" w:rsidRDefault="00464F43" w:rsidP="0050056F">
      <w:pPr>
        <w:pStyle w:val="ListParagraph"/>
        <w:numPr>
          <w:ilvl w:val="0"/>
          <w:numId w:val="10"/>
        </w:numPr>
        <w:rPr>
          <w:lang w:eastAsia="ja-JP"/>
        </w:rPr>
      </w:pPr>
      <w:r>
        <w:rPr>
          <w:lang w:eastAsia="ja-JP"/>
        </w:rPr>
        <w:t>Safeguards based on data minimisation are required for ARS uses</w:t>
      </w:r>
      <w:proofErr w:type="gramStart"/>
      <w:r>
        <w:rPr>
          <w:lang w:eastAsia="ja-JP"/>
        </w:rPr>
        <w:t xml:space="preserve">;  </w:t>
      </w:r>
      <w:r w:rsidR="00E249E5">
        <w:rPr>
          <w:lang w:eastAsia="ja-JP"/>
        </w:rPr>
        <w:t>they</w:t>
      </w:r>
      <w:proofErr w:type="gramEnd"/>
      <w:r w:rsidR="00E249E5">
        <w:rPr>
          <w:lang w:eastAsia="ja-JP"/>
        </w:rPr>
        <w:t xml:space="preserve"> may go beyond </w:t>
      </w:r>
      <w:proofErr w:type="spellStart"/>
      <w:r w:rsidR="00B55FE4">
        <w:rPr>
          <w:lang w:eastAsia="ja-JP"/>
        </w:rPr>
        <w:t>pseudonymisation</w:t>
      </w:r>
      <w:proofErr w:type="spellEnd"/>
      <w:r w:rsidR="00B55FE4">
        <w:rPr>
          <w:lang w:eastAsia="ja-JP"/>
        </w:rPr>
        <w:t xml:space="preserve">, and require </w:t>
      </w:r>
      <w:proofErr w:type="spellStart"/>
      <w:r w:rsidR="00B55FE4">
        <w:rPr>
          <w:lang w:eastAsia="ja-JP"/>
        </w:rPr>
        <w:t>anonymisation</w:t>
      </w:r>
      <w:proofErr w:type="spellEnd"/>
      <w:r w:rsidR="00B55FE4">
        <w:rPr>
          <w:lang w:eastAsia="ja-JP"/>
        </w:rPr>
        <w:t>, encryption etc</w:t>
      </w:r>
      <w:r w:rsidR="00C94163">
        <w:rPr>
          <w:lang w:eastAsia="ja-JP"/>
        </w:rPr>
        <w:t>.</w:t>
      </w:r>
    </w:p>
    <w:p w14:paraId="4E40E53E" w14:textId="2F731833" w:rsidR="003F6B2B" w:rsidRDefault="003F6B2B" w:rsidP="0050056F">
      <w:pPr>
        <w:pStyle w:val="ListParagraph"/>
        <w:numPr>
          <w:ilvl w:val="0"/>
          <w:numId w:val="10"/>
        </w:numPr>
        <w:rPr>
          <w:lang w:eastAsia="ja-JP"/>
        </w:rPr>
      </w:pPr>
      <w:r>
        <w:rPr>
          <w:lang w:eastAsia="ja-JP"/>
        </w:rPr>
        <w:t xml:space="preserve">Disclosure of </w:t>
      </w:r>
      <w:proofErr w:type="spellStart"/>
      <w:r w:rsidR="00FC67E2">
        <w:rPr>
          <w:lang w:eastAsia="ja-JP"/>
        </w:rPr>
        <w:t>pseudonymised</w:t>
      </w:r>
      <w:proofErr w:type="spellEnd"/>
      <w:r w:rsidR="00FC67E2">
        <w:rPr>
          <w:lang w:eastAsia="ja-JP"/>
        </w:rPr>
        <w:t xml:space="preserve"> data to a third party increases the risk of lack of safeguards</w:t>
      </w:r>
      <w:r w:rsidR="001E570A">
        <w:rPr>
          <w:lang w:eastAsia="ja-JP"/>
        </w:rPr>
        <w:t>, and the third party must have their own lawful purpose for using the data</w:t>
      </w:r>
      <w:r w:rsidR="00FC67E2">
        <w:rPr>
          <w:lang w:eastAsia="ja-JP"/>
        </w:rPr>
        <w:t>;</w:t>
      </w:r>
      <w:r w:rsidR="001515D0">
        <w:rPr>
          <w:lang w:eastAsia="ja-JP"/>
        </w:rPr>
        <w:t xml:space="preserve"> Publication of </w:t>
      </w:r>
      <w:proofErr w:type="spellStart"/>
      <w:r w:rsidR="001515D0">
        <w:rPr>
          <w:lang w:eastAsia="ja-JP"/>
        </w:rPr>
        <w:t>pseudonymised</w:t>
      </w:r>
      <w:proofErr w:type="spellEnd"/>
      <w:r w:rsidR="001515D0">
        <w:rPr>
          <w:lang w:eastAsia="ja-JP"/>
        </w:rPr>
        <w:t xml:space="preserve"> data cannot comply.</w:t>
      </w:r>
    </w:p>
    <w:p w14:paraId="250C6032" w14:textId="3FF6EAF8" w:rsidR="003F6B2B" w:rsidRDefault="003F6B2B" w:rsidP="008557DB">
      <w:pPr>
        <w:pStyle w:val="ListParagraph"/>
        <w:numPr>
          <w:ilvl w:val="0"/>
          <w:numId w:val="10"/>
        </w:numPr>
        <w:rPr>
          <w:lang w:eastAsia="ja-JP"/>
        </w:rPr>
      </w:pPr>
      <w:r>
        <w:rPr>
          <w:lang w:eastAsia="ja-JP"/>
        </w:rPr>
        <w:t xml:space="preserve">Linking </w:t>
      </w:r>
      <w:r w:rsidR="0066443A">
        <w:rPr>
          <w:lang w:eastAsia="ja-JP"/>
        </w:rPr>
        <w:t xml:space="preserve">multiple </w:t>
      </w:r>
      <w:r>
        <w:rPr>
          <w:lang w:eastAsia="ja-JP"/>
        </w:rPr>
        <w:t xml:space="preserve">databases </w:t>
      </w:r>
      <w:r w:rsidR="0032785F">
        <w:rPr>
          <w:lang w:eastAsia="ja-JP"/>
        </w:rPr>
        <w:t xml:space="preserve">for ARS uses </w:t>
      </w:r>
      <w:r>
        <w:rPr>
          <w:lang w:eastAsia="ja-JP"/>
        </w:rPr>
        <w:t xml:space="preserve">using pseudonyms </w:t>
      </w:r>
      <w:r w:rsidR="0032785F">
        <w:rPr>
          <w:lang w:eastAsia="ja-JP"/>
        </w:rPr>
        <w:t>is supported (Recital 157), but compatibility might not be presumed (uncertain).</w:t>
      </w:r>
      <w:r w:rsidR="00D51B6C">
        <w:rPr>
          <w:lang w:eastAsia="ja-JP"/>
        </w:rPr>
        <w:t xml:space="preserve"> Compatibility may need demonstration (art. 6(4), or new lawful processing shown (art. 6(1)).</w:t>
      </w:r>
    </w:p>
    <w:p w14:paraId="5D1C54DD" w14:textId="776F9F4E" w:rsidR="005C4595" w:rsidRDefault="0050056F" w:rsidP="0050056F">
      <w:pPr>
        <w:pStyle w:val="ListParagraph"/>
        <w:numPr>
          <w:ilvl w:val="0"/>
          <w:numId w:val="10"/>
        </w:numPr>
        <w:rPr>
          <w:lang w:eastAsia="ja-JP"/>
        </w:rPr>
      </w:pPr>
      <w:r>
        <w:t xml:space="preserve">Processing of any </w:t>
      </w:r>
      <w:r w:rsidR="005C4595">
        <w:t>type of sensitive data for ARS uses</w:t>
      </w:r>
      <w:r>
        <w:t xml:space="preserve"> is allowed</w:t>
      </w:r>
      <w:r w:rsidR="003338E8">
        <w:t xml:space="preserve"> (in theory), but only under conditions which must be met for each example of use, and may be different from the conditions for use of non-sensitive data;</w:t>
      </w:r>
    </w:p>
    <w:p w14:paraId="4FE39B64" w14:textId="27CD425D" w:rsidR="005C4595" w:rsidRPr="009F2F48" w:rsidRDefault="005C4595" w:rsidP="0050056F">
      <w:pPr>
        <w:pStyle w:val="ListParagraph"/>
        <w:numPr>
          <w:ilvl w:val="0"/>
          <w:numId w:val="10"/>
        </w:numPr>
      </w:pPr>
      <w:r>
        <w:t>Failure to meet these conditions exposes a controller to the higher level of fines</w:t>
      </w:r>
      <w:r w:rsidR="000E3363">
        <w:t>, and possible compensation actions by data subjects</w:t>
      </w:r>
      <w:r>
        <w:t>.</w:t>
      </w:r>
    </w:p>
    <w:p w14:paraId="6B681D8F" w14:textId="536C6E12" w:rsidR="00AD6776" w:rsidRPr="00AD6776" w:rsidRDefault="00656939" w:rsidP="00AD6776">
      <w:r>
        <w:t>Overa</w:t>
      </w:r>
      <w:r w:rsidR="00527570">
        <w:t xml:space="preserve">ll conclusion: </w:t>
      </w:r>
      <w:proofErr w:type="spellStart"/>
      <w:r w:rsidR="00527570">
        <w:t>pseudonymisation</w:t>
      </w:r>
      <w:proofErr w:type="spellEnd"/>
      <w:r w:rsidR="00182248">
        <w:t xml:space="preserve"> of personal data for the purpose of ARS uses does not provide </w:t>
      </w:r>
      <w:r w:rsidR="00527570">
        <w:t>a blank cheque</w:t>
      </w:r>
      <w:r w:rsidR="00182248">
        <w:t xml:space="preserve"> for use of the data.</w:t>
      </w:r>
    </w:p>
    <w:sectPr w:rsidR="00AD6776" w:rsidRPr="00AD6776" w:rsidSect="007F01BC">
      <w:headerReference w:type="even" r:id="rId14"/>
      <w:headerReference w:type="default" r:id="rId15"/>
      <w:pgSz w:w="11901" w:h="16840"/>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4CC7" w14:textId="77777777" w:rsidR="00E55DCC" w:rsidRDefault="00E55DCC" w:rsidP="00AD6776">
      <w:pPr>
        <w:spacing w:after="0"/>
      </w:pPr>
      <w:r>
        <w:separator/>
      </w:r>
    </w:p>
  </w:endnote>
  <w:endnote w:type="continuationSeparator" w:id="0">
    <w:p w14:paraId="17BA451D" w14:textId="77777777" w:rsidR="00E55DCC" w:rsidRDefault="00E55DCC" w:rsidP="00AD6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SD 산돌고딕 Neo 일반체">
    <w:charset w:val="4F"/>
    <w:family w:val="auto"/>
    <w:pitch w:val="variable"/>
    <w:sig w:usb0="00000203" w:usb1="29D72C10" w:usb2="00000010" w:usb3="00000000" w:csb0="00280005"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DE53" w14:textId="77777777" w:rsidR="00E55DCC" w:rsidRDefault="00E55DCC" w:rsidP="00AD6776">
      <w:pPr>
        <w:spacing w:after="0"/>
      </w:pPr>
      <w:r>
        <w:separator/>
      </w:r>
    </w:p>
  </w:footnote>
  <w:footnote w:type="continuationSeparator" w:id="0">
    <w:p w14:paraId="6A153CC7" w14:textId="77777777" w:rsidR="00E55DCC" w:rsidRDefault="00E55DCC" w:rsidP="00AD6776">
      <w:pPr>
        <w:spacing w:after="0"/>
      </w:pPr>
      <w:r>
        <w:continuationSeparator/>
      </w:r>
    </w:p>
  </w:footnote>
  <w:footnote w:id="1">
    <w:p w14:paraId="353FB706" w14:textId="7350ECCD" w:rsidR="00E55DCC" w:rsidRPr="000143D7" w:rsidRDefault="00E55DCC">
      <w:pPr>
        <w:pStyle w:val="FootnoteText"/>
        <w:rPr>
          <w:lang w:val="en-US"/>
        </w:rPr>
      </w:pPr>
      <w:r>
        <w:rPr>
          <w:rStyle w:val="FootnoteReference"/>
        </w:rPr>
        <w:footnoteRef/>
      </w:r>
      <w:r>
        <w:t xml:space="preserve"> ‘</w:t>
      </w:r>
      <w:r>
        <w:rPr>
          <w:rFonts w:eastAsia="Times New Roman"/>
        </w:rPr>
        <w:t xml:space="preserve">To determine whether a natural person is identifiable, account should be taken of all the means reasonably likely to be used, such as singling out, either by the controller or by another person to identify the natural person directly or indirectly. </w:t>
      </w:r>
      <w:r>
        <w:rPr>
          <w:rFonts w:eastAsia="Times New Roman"/>
          <w:vertAlign w:val="superscript"/>
        </w:rPr>
        <w:t>4</w:t>
      </w:r>
      <w:r>
        <w:rPr>
          <w:rFonts w:eastAsia="Times New Roman"/>
        </w:rPr>
        <w:t>To ascertain whether means are reasonably likely to be used to identify the natural person, account should be taken of all objective factors, such as the costs of and the amount of time required for identification, taking into consideration the available technology at the time of the processing and technological developments.’ (GDPR Recital 26)</w:t>
      </w:r>
    </w:p>
  </w:footnote>
  <w:footnote w:id="2">
    <w:p w14:paraId="64A6561A" w14:textId="029979ED" w:rsidR="00E55DCC" w:rsidRPr="00446C0F" w:rsidRDefault="00E55DCC" w:rsidP="00622547">
      <w:pPr>
        <w:pStyle w:val="FootnoteText"/>
        <w:rPr>
          <w:lang w:val="en-US"/>
        </w:rPr>
      </w:pPr>
      <w:r>
        <w:rPr>
          <w:rStyle w:val="FootnoteReference"/>
        </w:rPr>
        <w:footnoteRef/>
      </w:r>
      <w:r>
        <w:t xml:space="preserve"> GDPR Recitals 50, 52, 53, 62, 65, </w:t>
      </w:r>
      <w:proofErr w:type="gramStart"/>
      <w:r>
        <w:t>156 ;</w:t>
      </w:r>
      <w:proofErr w:type="gramEnd"/>
      <w:r>
        <w:t xml:space="preserve"> </w:t>
      </w:r>
      <w:r>
        <w:rPr>
          <w:lang w:val="en-US"/>
        </w:rPr>
        <w:t>Arts. 5(1)(b), 5(1)</w:t>
      </w:r>
      <w:proofErr w:type="gramStart"/>
      <w:r>
        <w:rPr>
          <w:lang w:val="en-US"/>
        </w:rPr>
        <w:t>)e</w:t>
      </w:r>
      <w:proofErr w:type="gramEnd"/>
      <w:r>
        <w:rPr>
          <w:lang w:val="en-US"/>
        </w:rPr>
        <w:t>), 9(2)(j), 17(3)(b), 89</w:t>
      </w:r>
    </w:p>
  </w:footnote>
  <w:footnote w:id="3">
    <w:p w14:paraId="1AD80B97" w14:textId="38EFEE91" w:rsidR="00E55DCC" w:rsidRPr="001D2970" w:rsidRDefault="00E55DCC">
      <w:pPr>
        <w:pStyle w:val="FootnoteText"/>
        <w:rPr>
          <w:lang w:val="en-US"/>
        </w:rPr>
      </w:pPr>
      <w:r>
        <w:rPr>
          <w:rStyle w:val="FootnoteReference"/>
        </w:rPr>
        <w:footnoteRef/>
      </w:r>
      <w:r>
        <w:t xml:space="preserve"> </w:t>
      </w:r>
      <w:r>
        <w:rPr>
          <w:lang w:val="en-US"/>
        </w:rPr>
        <w:t>For example,</w:t>
      </w:r>
      <w:r w:rsidRPr="00524C26">
        <w:rPr>
          <w:lang w:val="en-US"/>
        </w:rPr>
        <w:t xml:space="preserve"> </w:t>
      </w:r>
      <w:r>
        <w:rPr>
          <w:lang w:val="en-US"/>
        </w:rPr>
        <w:t xml:space="preserve">EDPS Preliminary Opinion’, p. 23 </w:t>
      </w:r>
    </w:p>
  </w:footnote>
  <w:footnote w:id="4">
    <w:p w14:paraId="68B769A4" w14:textId="26907CCC" w:rsidR="00E55DCC" w:rsidRPr="00105D80" w:rsidRDefault="00E55DCC">
      <w:pPr>
        <w:pStyle w:val="FootnoteText"/>
        <w:rPr>
          <w:lang w:val="en-US"/>
        </w:rPr>
      </w:pPr>
      <w:r>
        <w:rPr>
          <w:rStyle w:val="FootnoteReference"/>
        </w:rPr>
        <w:footnoteRef/>
      </w:r>
      <w:r>
        <w:t xml:space="preserve"> </w:t>
      </w:r>
      <w:r>
        <w:rPr>
          <w:lang w:val="en-US"/>
        </w:rPr>
        <w:t>EDPS Preliminary Opinion’, pp. 23-24</w:t>
      </w:r>
    </w:p>
  </w:footnote>
  <w:footnote w:id="5">
    <w:p w14:paraId="79EFEEF4" w14:textId="6841D666" w:rsidR="00E55DCC" w:rsidRPr="001D2970" w:rsidRDefault="00E55DCC">
      <w:pPr>
        <w:pStyle w:val="FootnoteText"/>
        <w:rPr>
          <w:lang w:val="en-US"/>
        </w:rPr>
      </w:pPr>
      <w:r>
        <w:rPr>
          <w:rStyle w:val="FootnoteReference"/>
        </w:rPr>
        <w:footnoteRef/>
      </w:r>
      <w:r>
        <w:t xml:space="preserve"> </w:t>
      </w:r>
      <w:r>
        <w:rPr>
          <w:lang w:val="en-US"/>
        </w:rPr>
        <w:t>EDPS Preliminary Opinion’, p. 21.</w:t>
      </w:r>
    </w:p>
  </w:footnote>
  <w:footnote w:id="6">
    <w:p w14:paraId="67329E08" w14:textId="01643FC4" w:rsidR="00E55DCC" w:rsidRPr="00AA4034" w:rsidRDefault="00E55DCC">
      <w:pPr>
        <w:pStyle w:val="FootnoteText"/>
        <w:rPr>
          <w:lang w:val="en-US"/>
        </w:rPr>
      </w:pPr>
      <w:r>
        <w:rPr>
          <w:rStyle w:val="FootnoteReference"/>
        </w:rPr>
        <w:footnoteRef/>
      </w:r>
      <w:r>
        <w:t xml:space="preserve"> </w:t>
      </w:r>
      <w:r>
        <w:rPr>
          <w:lang w:val="en-US"/>
        </w:rPr>
        <w:t>EDPS Preliminary Opinion’, p.12 seems uncertain whether this is so.</w:t>
      </w:r>
    </w:p>
  </w:footnote>
  <w:footnote w:id="7">
    <w:p w14:paraId="3CC31ECD" w14:textId="5AD809C5" w:rsidR="00E55DCC" w:rsidRPr="000E12DC" w:rsidRDefault="00E55DCC" w:rsidP="000E12DC">
      <w:pPr>
        <w:pStyle w:val="FootnoteText"/>
        <w:rPr>
          <w:color w:val="500050"/>
          <w:lang w:val="en-US" w:eastAsia="ja-JP"/>
        </w:rPr>
      </w:pPr>
      <w:r>
        <w:rPr>
          <w:rStyle w:val="FootnoteReference"/>
        </w:rPr>
        <w:footnoteRef/>
      </w:r>
      <w:r>
        <w:t xml:space="preserve"> Recital 159: ‘the processing of personal data for scientific research purposes should be interpreted in a broad manner including for example technological development and demonstration, fundamental research, applied research and privately funded research’.</w:t>
      </w:r>
    </w:p>
  </w:footnote>
  <w:footnote w:id="8">
    <w:p w14:paraId="18AA97D2" w14:textId="6B11C8B9" w:rsidR="00E55DCC" w:rsidRPr="005B488C" w:rsidRDefault="00E55DCC" w:rsidP="005B488C">
      <w:pPr>
        <w:pStyle w:val="FootnoteText"/>
        <w:rPr>
          <w:lang w:val="en-US"/>
        </w:rPr>
      </w:pPr>
      <w:r>
        <w:rPr>
          <w:rStyle w:val="FootnoteReference"/>
        </w:rPr>
        <w:footnoteRef/>
      </w:r>
      <w:r>
        <w:t xml:space="preserve"> </w:t>
      </w:r>
      <w:proofErr w:type="gramStart"/>
      <w:r>
        <w:t xml:space="preserve">European Data Protection Supervisor </w:t>
      </w:r>
      <w:r w:rsidRPr="0041066E">
        <w:rPr>
          <w:i/>
          <w:lang w:val="en-US"/>
        </w:rPr>
        <w:t>A Preliminary Opinion on data protection and scientific research</w:t>
      </w:r>
      <w:r>
        <w:rPr>
          <w:lang w:val="en-US"/>
        </w:rPr>
        <w:t>, 6 January 2020, p. 11 (hereinafter ‘EDPS Preliminary Opinion’).</w:t>
      </w:r>
      <w:proofErr w:type="gramEnd"/>
    </w:p>
  </w:footnote>
  <w:footnote w:id="9">
    <w:p w14:paraId="6828BC98" w14:textId="3F77E0AE" w:rsidR="00E55DCC" w:rsidRPr="0041066E" w:rsidRDefault="00E55DCC">
      <w:pPr>
        <w:pStyle w:val="FootnoteText"/>
        <w:rPr>
          <w:lang w:val="en-US"/>
        </w:rPr>
      </w:pPr>
      <w:r>
        <w:rPr>
          <w:rStyle w:val="FootnoteReference"/>
        </w:rPr>
        <w:footnoteRef/>
      </w:r>
      <w:r>
        <w:t xml:space="preserve"> </w:t>
      </w:r>
      <w:proofErr w:type="gramStart"/>
      <w:r>
        <w:rPr>
          <w:lang w:val="en-US"/>
        </w:rPr>
        <w:t>EDPS Preliminary Opinion’, p.12.</w:t>
      </w:r>
      <w:proofErr w:type="gramEnd"/>
    </w:p>
  </w:footnote>
  <w:footnote w:id="10">
    <w:p w14:paraId="586B9B29" w14:textId="10FCC7D0" w:rsidR="00E55DCC" w:rsidRPr="00755854" w:rsidRDefault="00E55DCC">
      <w:pPr>
        <w:pStyle w:val="FootnoteText"/>
        <w:rPr>
          <w:lang w:val="en-US"/>
        </w:rPr>
      </w:pPr>
      <w:r>
        <w:rPr>
          <w:rStyle w:val="FootnoteReference"/>
        </w:rPr>
        <w:footnoteRef/>
      </w:r>
      <w:r>
        <w:t xml:space="preserve"> </w:t>
      </w:r>
      <w:r>
        <w:rPr>
          <w:lang w:val="en-US"/>
        </w:rPr>
        <w:t>EDPS Preliminary Opinion, p. 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9AEF" w14:textId="77777777" w:rsidR="00E55DCC" w:rsidRDefault="00E55DCC" w:rsidP="00AD67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CDF77" w14:textId="77777777" w:rsidR="00E55DCC" w:rsidRDefault="00E55DCC" w:rsidP="00AD67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47E04" w14:textId="77777777" w:rsidR="00E55DCC" w:rsidRDefault="00E55DCC" w:rsidP="00AD67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F5E">
      <w:rPr>
        <w:rStyle w:val="PageNumber"/>
        <w:noProof/>
      </w:rPr>
      <w:t>3</w:t>
    </w:r>
    <w:r>
      <w:rPr>
        <w:rStyle w:val="PageNumber"/>
      </w:rPr>
      <w:fldChar w:fldCharType="end"/>
    </w:r>
  </w:p>
  <w:p w14:paraId="46EB4D40" w14:textId="28BF89CF" w:rsidR="00E55DCC" w:rsidRPr="00AD6776" w:rsidRDefault="00E55DCC" w:rsidP="00AD6776">
    <w:pPr>
      <w:pStyle w:val="Header"/>
      <w:ind w:right="360"/>
      <w:rPr>
        <w:i/>
      </w:rPr>
    </w:pPr>
    <w:r w:rsidRPr="00AD6776">
      <w:rPr>
        <w:i/>
      </w:rPr>
      <w:t xml:space="preserve">Greenleaf – Processing </w:t>
    </w:r>
    <w:proofErr w:type="spellStart"/>
    <w:r w:rsidRPr="00AD6776">
      <w:rPr>
        <w:i/>
      </w:rPr>
      <w:t>pseudonymised</w:t>
    </w:r>
    <w:proofErr w:type="spellEnd"/>
    <w:r w:rsidRPr="00AD6776">
      <w:rPr>
        <w:i/>
      </w:rPr>
      <w:t xml:space="preserve"> data for research, statistics and archiving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05C"/>
    <w:multiLevelType w:val="hybridMultilevel"/>
    <w:tmpl w:val="E49254DA"/>
    <w:lvl w:ilvl="0" w:tplc="1A02FF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0F13"/>
    <w:multiLevelType w:val="hybridMultilevel"/>
    <w:tmpl w:val="26D0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C6683"/>
    <w:multiLevelType w:val="hybridMultilevel"/>
    <w:tmpl w:val="17F6B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20382"/>
    <w:multiLevelType w:val="hybridMultilevel"/>
    <w:tmpl w:val="601C9FD8"/>
    <w:lvl w:ilvl="0" w:tplc="777E97C8">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766D6"/>
    <w:multiLevelType w:val="hybridMultilevel"/>
    <w:tmpl w:val="F662B1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A4F5D"/>
    <w:multiLevelType w:val="hybridMultilevel"/>
    <w:tmpl w:val="E39457B4"/>
    <w:lvl w:ilvl="0" w:tplc="EC6221F0">
      <w:start w:val="1"/>
      <w:numFmt w:val="bullet"/>
      <w:lvlText w:val="–"/>
      <w:lvlJc w:val="left"/>
      <w:pPr>
        <w:tabs>
          <w:tab w:val="num" w:pos="720"/>
        </w:tabs>
        <w:ind w:left="720" w:hanging="360"/>
      </w:pPr>
      <w:rPr>
        <w:rFonts w:ascii="Arial" w:hAnsi="Arial" w:hint="default"/>
      </w:rPr>
    </w:lvl>
    <w:lvl w:ilvl="1" w:tplc="45F094EC">
      <w:start w:val="1"/>
      <w:numFmt w:val="bullet"/>
      <w:lvlText w:val="–"/>
      <w:lvlJc w:val="left"/>
      <w:pPr>
        <w:tabs>
          <w:tab w:val="num" w:pos="1440"/>
        </w:tabs>
        <w:ind w:left="1440" w:hanging="360"/>
      </w:pPr>
      <w:rPr>
        <w:rFonts w:ascii="Arial" w:hAnsi="Arial" w:hint="default"/>
      </w:rPr>
    </w:lvl>
    <w:lvl w:ilvl="2" w:tplc="9A50595A" w:tentative="1">
      <w:start w:val="1"/>
      <w:numFmt w:val="bullet"/>
      <w:lvlText w:val="–"/>
      <w:lvlJc w:val="left"/>
      <w:pPr>
        <w:tabs>
          <w:tab w:val="num" w:pos="2160"/>
        </w:tabs>
        <w:ind w:left="2160" w:hanging="360"/>
      </w:pPr>
      <w:rPr>
        <w:rFonts w:ascii="Arial" w:hAnsi="Arial" w:hint="default"/>
      </w:rPr>
    </w:lvl>
    <w:lvl w:ilvl="3" w:tplc="63727E28" w:tentative="1">
      <w:start w:val="1"/>
      <w:numFmt w:val="bullet"/>
      <w:lvlText w:val="–"/>
      <w:lvlJc w:val="left"/>
      <w:pPr>
        <w:tabs>
          <w:tab w:val="num" w:pos="2880"/>
        </w:tabs>
        <w:ind w:left="2880" w:hanging="360"/>
      </w:pPr>
      <w:rPr>
        <w:rFonts w:ascii="Arial" w:hAnsi="Arial" w:hint="default"/>
      </w:rPr>
    </w:lvl>
    <w:lvl w:ilvl="4" w:tplc="2A348986" w:tentative="1">
      <w:start w:val="1"/>
      <w:numFmt w:val="bullet"/>
      <w:lvlText w:val="–"/>
      <w:lvlJc w:val="left"/>
      <w:pPr>
        <w:tabs>
          <w:tab w:val="num" w:pos="3600"/>
        </w:tabs>
        <w:ind w:left="3600" w:hanging="360"/>
      </w:pPr>
      <w:rPr>
        <w:rFonts w:ascii="Arial" w:hAnsi="Arial" w:hint="default"/>
      </w:rPr>
    </w:lvl>
    <w:lvl w:ilvl="5" w:tplc="6B201262" w:tentative="1">
      <w:start w:val="1"/>
      <w:numFmt w:val="bullet"/>
      <w:lvlText w:val="–"/>
      <w:lvlJc w:val="left"/>
      <w:pPr>
        <w:tabs>
          <w:tab w:val="num" w:pos="4320"/>
        </w:tabs>
        <w:ind w:left="4320" w:hanging="360"/>
      </w:pPr>
      <w:rPr>
        <w:rFonts w:ascii="Arial" w:hAnsi="Arial" w:hint="default"/>
      </w:rPr>
    </w:lvl>
    <w:lvl w:ilvl="6" w:tplc="A238CE98" w:tentative="1">
      <w:start w:val="1"/>
      <w:numFmt w:val="bullet"/>
      <w:lvlText w:val="–"/>
      <w:lvlJc w:val="left"/>
      <w:pPr>
        <w:tabs>
          <w:tab w:val="num" w:pos="5040"/>
        </w:tabs>
        <w:ind w:left="5040" w:hanging="360"/>
      </w:pPr>
      <w:rPr>
        <w:rFonts w:ascii="Arial" w:hAnsi="Arial" w:hint="default"/>
      </w:rPr>
    </w:lvl>
    <w:lvl w:ilvl="7" w:tplc="4A2A8DE4" w:tentative="1">
      <w:start w:val="1"/>
      <w:numFmt w:val="bullet"/>
      <w:lvlText w:val="–"/>
      <w:lvlJc w:val="left"/>
      <w:pPr>
        <w:tabs>
          <w:tab w:val="num" w:pos="5760"/>
        </w:tabs>
        <w:ind w:left="5760" w:hanging="360"/>
      </w:pPr>
      <w:rPr>
        <w:rFonts w:ascii="Arial" w:hAnsi="Arial" w:hint="default"/>
      </w:rPr>
    </w:lvl>
    <w:lvl w:ilvl="8" w:tplc="D8781DBA" w:tentative="1">
      <w:start w:val="1"/>
      <w:numFmt w:val="bullet"/>
      <w:lvlText w:val="–"/>
      <w:lvlJc w:val="left"/>
      <w:pPr>
        <w:tabs>
          <w:tab w:val="num" w:pos="6480"/>
        </w:tabs>
        <w:ind w:left="6480" w:hanging="360"/>
      </w:pPr>
      <w:rPr>
        <w:rFonts w:ascii="Arial" w:hAnsi="Arial" w:hint="default"/>
      </w:rPr>
    </w:lvl>
  </w:abstractNum>
  <w:abstractNum w:abstractNumId="6">
    <w:nsid w:val="2DFE1C00"/>
    <w:multiLevelType w:val="hybridMultilevel"/>
    <w:tmpl w:val="AA4E06BA"/>
    <w:lvl w:ilvl="0" w:tplc="E62A6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C5195"/>
    <w:multiLevelType w:val="hybridMultilevel"/>
    <w:tmpl w:val="1C60117C"/>
    <w:lvl w:ilvl="0" w:tplc="1AA6B1CC">
      <w:start w:val="1"/>
      <w:numFmt w:val="bullet"/>
      <w:lvlText w:val="–"/>
      <w:lvlJc w:val="left"/>
      <w:pPr>
        <w:tabs>
          <w:tab w:val="num" w:pos="720"/>
        </w:tabs>
        <w:ind w:left="720" w:hanging="360"/>
      </w:pPr>
      <w:rPr>
        <w:rFonts w:ascii="Arial" w:hAnsi="Arial" w:hint="default"/>
      </w:rPr>
    </w:lvl>
    <w:lvl w:ilvl="1" w:tplc="7038B356">
      <w:start w:val="1"/>
      <w:numFmt w:val="bullet"/>
      <w:lvlText w:val="–"/>
      <w:lvlJc w:val="left"/>
      <w:pPr>
        <w:tabs>
          <w:tab w:val="num" w:pos="1440"/>
        </w:tabs>
        <w:ind w:left="1440" w:hanging="360"/>
      </w:pPr>
      <w:rPr>
        <w:rFonts w:ascii="Arial" w:hAnsi="Arial" w:hint="default"/>
      </w:rPr>
    </w:lvl>
    <w:lvl w:ilvl="2" w:tplc="8A80CA9E" w:tentative="1">
      <w:start w:val="1"/>
      <w:numFmt w:val="bullet"/>
      <w:lvlText w:val="–"/>
      <w:lvlJc w:val="left"/>
      <w:pPr>
        <w:tabs>
          <w:tab w:val="num" w:pos="2160"/>
        </w:tabs>
        <w:ind w:left="2160" w:hanging="360"/>
      </w:pPr>
      <w:rPr>
        <w:rFonts w:ascii="Arial" w:hAnsi="Arial" w:hint="default"/>
      </w:rPr>
    </w:lvl>
    <w:lvl w:ilvl="3" w:tplc="A6082E00" w:tentative="1">
      <w:start w:val="1"/>
      <w:numFmt w:val="bullet"/>
      <w:lvlText w:val="–"/>
      <w:lvlJc w:val="left"/>
      <w:pPr>
        <w:tabs>
          <w:tab w:val="num" w:pos="2880"/>
        </w:tabs>
        <w:ind w:left="2880" w:hanging="360"/>
      </w:pPr>
      <w:rPr>
        <w:rFonts w:ascii="Arial" w:hAnsi="Arial" w:hint="default"/>
      </w:rPr>
    </w:lvl>
    <w:lvl w:ilvl="4" w:tplc="0230633A" w:tentative="1">
      <w:start w:val="1"/>
      <w:numFmt w:val="bullet"/>
      <w:lvlText w:val="–"/>
      <w:lvlJc w:val="left"/>
      <w:pPr>
        <w:tabs>
          <w:tab w:val="num" w:pos="3600"/>
        </w:tabs>
        <w:ind w:left="3600" w:hanging="360"/>
      </w:pPr>
      <w:rPr>
        <w:rFonts w:ascii="Arial" w:hAnsi="Arial" w:hint="default"/>
      </w:rPr>
    </w:lvl>
    <w:lvl w:ilvl="5" w:tplc="3DCAC490" w:tentative="1">
      <w:start w:val="1"/>
      <w:numFmt w:val="bullet"/>
      <w:lvlText w:val="–"/>
      <w:lvlJc w:val="left"/>
      <w:pPr>
        <w:tabs>
          <w:tab w:val="num" w:pos="4320"/>
        </w:tabs>
        <w:ind w:left="4320" w:hanging="360"/>
      </w:pPr>
      <w:rPr>
        <w:rFonts w:ascii="Arial" w:hAnsi="Arial" w:hint="default"/>
      </w:rPr>
    </w:lvl>
    <w:lvl w:ilvl="6" w:tplc="83165C86" w:tentative="1">
      <w:start w:val="1"/>
      <w:numFmt w:val="bullet"/>
      <w:lvlText w:val="–"/>
      <w:lvlJc w:val="left"/>
      <w:pPr>
        <w:tabs>
          <w:tab w:val="num" w:pos="5040"/>
        </w:tabs>
        <w:ind w:left="5040" w:hanging="360"/>
      </w:pPr>
      <w:rPr>
        <w:rFonts w:ascii="Arial" w:hAnsi="Arial" w:hint="default"/>
      </w:rPr>
    </w:lvl>
    <w:lvl w:ilvl="7" w:tplc="1AFC788C" w:tentative="1">
      <w:start w:val="1"/>
      <w:numFmt w:val="bullet"/>
      <w:lvlText w:val="–"/>
      <w:lvlJc w:val="left"/>
      <w:pPr>
        <w:tabs>
          <w:tab w:val="num" w:pos="5760"/>
        </w:tabs>
        <w:ind w:left="5760" w:hanging="360"/>
      </w:pPr>
      <w:rPr>
        <w:rFonts w:ascii="Arial" w:hAnsi="Arial" w:hint="default"/>
      </w:rPr>
    </w:lvl>
    <w:lvl w:ilvl="8" w:tplc="FF2CDC7C" w:tentative="1">
      <w:start w:val="1"/>
      <w:numFmt w:val="bullet"/>
      <w:lvlText w:val="–"/>
      <w:lvlJc w:val="left"/>
      <w:pPr>
        <w:tabs>
          <w:tab w:val="num" w:pos="6480"/>
        </w:tabs>
        <w:ind w:left="6480" w:hanging="360"/>
      </w:pPr>
      <w:rPr>
        <w:rFonts w:ascii="Arial" w:hAnsi="Arial" w:hint="default"/>
      </w:rPr>
    </w:lvl>
  </w:abstractNum>
  <w:abstractNum w:abstractNumId="8">
    <w:nsid w:val="360A58FF"/>
    <w:multiLevelType w:val="hybridMultilevel"/>
    <w:tmpl w:val="06C40346"/>
    <w:lvl w:ilvl="0" w:tplc="D20C98B8">
      <w:start w:val="1"/>
      <w:numFmt w:val="bullet"/>
      <w:lvlText w:val="–"/>
      <w:lvlJc w:val="left"/>
      <w:pPr>
        <w:tabs>
          <w:tab w:val="num" w:pos="720"/>
        </w:tabs>
        <w:ind w:left="720" w:hanging="360"/>
      </w:pPr>
      <w:rPr>
        <w:rFonts w:ascii="Arial" w:hAnsi="Arial" w:hint="default"/>
      </w:rPr>
    </w:lvl>
    <w:lvl w:ilvl="1" w:tplc="5678BFBC">
      <w:start w:val="1"/>
      <w:numFmt w:val="bullet"/>
      <w:lvlText w:val="–"/>
      <w:lvlJc w:val="left"/>
      <w:pPr>
        <w:tabs>
          <w:tab w:val="num" w:pos="1440"/>
        </w:tabs>
        <w:ind w:left="1440" w:hanging="360"/>
      </w:pPr>
      <w:rPr>
        <w:rFonts w:ascii="Arial" w:hAnsi="Arial" w:hint="default"/>
      </w:rPr>
    </w:lvl>
    <w:lvl w:ilvl="2" w:tplc="3F7E4164" w:tentative="1">
      <w:start w:val="1"/>
      <w:numFmt w:val="bullet"/>
      <w:lvlText w:val="–"/>
      <w:lvlJc w:val="left"/>
      <w:pPr>
        <w:tabs>
          <w:tab w:val="num" w:pos="2160"/>
        </w:tabs>
        <w:ind w:left="2160" w:hanging="360"/>
      </w:pPr>
      <w:rPr>
        <w:rFonts w:ascii="Arial" w:hAnsi="Arial" w:hint="default"/>
      </w:rPr>
    </w:lvl>
    <w:lvl w:ilvl="3" w:tplc="29528230" w:tentative="1">
      <w:start w:val="1"/>
      <w:numFmt w:val="bullet"/>
      <w:lvlText w:val="–"/>
      <w:lvlJc w:val="left"/>
      <w:pPr>
        <w:tabs>
          <w:tab w:val="num" w:pos="2880"/>
        </w:tabs>
        <w:ind w:left="2880" w:hanging="360"/>
      </w:pPr>
      <w:rPr>
        <w:rFonts w:ascii="Arial" w:hAnsi="Arial" w:hint="default"/>
      </w:rPr>
    </w:lvl>
    <w:lvl w:ilvl="4" w:tplc="0D12A844" w:tentative="1">
      <w:start w:val="1"/>
      <w:numFmt w:val="bullet"/>
      <w:lvlText w:val="–"/>
      <w:lvlJc w:val="left"/>
      <w:pPr>
        <w:tabs>
          <w:tab w:val="num" w:pos="3600"/>
        </w:tabs>
        <w:ind w:left="3600" w:hanging="360"/>
      </w:pPr>
      <w:rPr>
        <w:rFonts w:ascii="Arial" w:hAnsi="Arial" w:hint="default"/>
      </w:rPr>
    </w:lvl>
    <w:lvl w:ilvl="5" w:tplc="D77438B2" w:tentative="1">
      <w:start w:val="1"/>
      <w:numFmt w:val="bullet"/>
      <w:lvlText w:val="–"/>
      <w:lvlJc w:val="left"/>
      <w:pPr>
        <w:tabs>
          <w:tab w:val="num" w:pos="4320"/>
        </w:tabs>
        <w:ind w:left="4320" w:hanging="360"/>
      </w:pPr>
      <w:rPr>
        <w:rFonts w:ascii="Arial" w:hAnsi="Arial" w:hint="default"/>
      </w:rPr>
    </w:lvl>
    <w:lvl w:ilvl="6" w:tplc="9340848A" w:tentative="1">
      <w:start w:val="1"/>
      <w:numFmt w:val="bullet"/>
      <w:lvlText w:val="–"/>
      <w:lvlJc w:val="left"/>
      <w:pPr>
        <w:tabs>
          <w:tab w:val="num" w:pos="5040"/>
        </w:tabs>
        <w:ind w:left="5040" w:hanging="360"/>
      </w:pPr>
      <w:rPr>
        <w:rFonts w:ascii="Arial" w:hAnsi="Arial" w:hint="default"/>
      </w:rPr>
    </w:lvl>
    <w:lvl w:ilvl="7" w:tplc="33384D92" w:tentative="1">
      <w:start w:val="1"/>
      <w:numFmt w:val="bullet"/>
      <w:lvlText w:val="–"/>
      <w:lvlJc w:val="left"/>
      <w:pPr>
        <w:tabs>
          <w:tab w:val="num" w:pos="5760"/>
        </w:tabs>
        <w:ind w:left="5760" w:hanging="360"/>
      </w:pPr>
      <w:rPr>
        <w:rFonts w:ascii="Arial" w:hAnsi="Arial" w:hint="default"/>
      </w:rPr>
    </w:lvl>
    <w:lvl w:ilvl="8" w:tplc="31087566" w:tentative="1">
      <w:start w:val="1"/>
      <w:numFmt w:val="bullet"/>
      <w:lvlText w:val="–"/>
      <w:lvlJc w:val="left"/>
      <w:pPr>
        <w:tabs>
          <w:tab w:val="num" w:pos="6480"/>
        </w:tabs>
        <w:ind w:left="6480" w:hanging="360"/>
      </w:pPr>
      <w:rPr>
        <w:rFonts w:ascii="Arial" w:hAnsi="Arial" w:hint="default"/>
      </w:rPr>
    </w:lvl>
  </w:abstractNum>
  <w:abstractNum w:abstractNumId="9">
    <w:nsid w:val="36A9237F"/>
    <w:multiLevelType w:val="multilevel"/>
    <w:tmpl w:val="332C6C58"/>
    <w:lvl w:ilvl="0">
      <w:start w:val="1"/>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7332A3"/>
    <w:multiLevelType w:val="hybridMultilevel"/>
    <w:tmpl w:val="D2A6C024"/>
    <w:lvl w:ilvl="0" w:tplc="28500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7285A"/>
    <w:multiLevelType w:val="hybridMultilevel"/>
    <w:tmpl w:val="636EFD60"/>
    <w:lvl w:ilvl="0" w:tplc="7B364898">
      <w:start w:val="1"/>
      <w:numFmt w:val="lowerRoman"/>
      <w:lvlText w:val="(%1)"/>
      <w:lvlJc w:val="left"/>
      <w:pPr>
        <w:ind w:left="1080" w:hanging="720"/>
      </w:pPr>
      <w:rPr>
        <w:rFonts w:eastAsiaTheme="minorEastAsia" w:hint="default"/>
        <w:color w:val="500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14CFC"/>
    <w:multiLevelType w:val="multilevel"/>
    <w:tmpl w:val="7D50E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305C34"/>
    <w:multiLevelType w:val="hybridMultilevel"/>
    <w:tmpl w:val="FA2E386E"/>
    <w:lvl w:ilvl="0" w:tplc="E584AB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73EAB"/>
    <w:multiLevelType w:val="hybridMultilevel"/>
    <w:tmpl w:val="2B3041CE"/>
    <w:lvl w:ilvl="0" w:tplc="400450FC">
      <w:start w:val="1"/>
      <w:numFmt w:val="lowerRoman"/>
      <w:lvlText w:val="(%1)"/>
      <w:lvlJc w:val="left"/>
      <w:pPr>
        <w:ind w:left="1080" w:hanging="720"/>
      </w:pPr>
      <w:rPr>
        <w:rFonts w:eastAsiaTheme="minorEastAsia" w:hint="default"/>
        <w:color w:val="500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
  </w:num>
  <w:num w:numId="8">
    <w:abstractNumId w:val="3"/>
  </w:num>
  <w:num w:numId="9">
    <w:abstractNumId w:val="4"/>
  </w:num>
  <w:num w:numId="10">
    <w:abstractNumId w:val="2"/>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D1"/>
    <w:rsid w:val="00000301"/>
    <w:rsid w:val="0000038A"/>
    <w:rsid w:val="0000221D"/>
    <w:rsid w:val="00010830"/>
    <w:rsid w:val="000143D7"/>
    <w:rsid w:val="0004156F"/>
    <w:rsid w:val="000762E9"/>
    <w:rsid w:val="00080BBA"/>
    <w:rsid w:val="00082652"/>
    <w:rsid w:val="000917EC"/>
    <w:rsid w:val="000A0512"/>
    <w:rsid w:val="000B570E"/>
    <w:rsid w:val="000C5623"/>
    <w:rsid w:val="000C57BC"/>
    <w:rsid w:val="000D2C01"/>
    <w:rsid w:val="000D3E9E"/>
    <w:rsid w:val="000D7315"/>
    <w:rsid w:val="000E12DC"/>
    <w:rsid w:val="000E3363"/>
    <w:rsid w:val="000E3B1B"/>
    <w:rsid w:val="000F6742"/>
    <w:rsid w:val="00105D80"/>
    <w:rsid w:val="001102A0"/>
    <w:rsid w:val="00116081"/>
    <w:rsid w:val="00116198"/>
    <w:rsid w:val="00142C38"/>
    <w:rsid w:val="001515D0"/>
    <w:rsid w:val="00182248"/>
    <w:rsid w:val="001944A9"/>
    <w:rsid w:val="00196548"/>
    <w:rsid w:val="001C25D2"/>
    <w:rsid w:val="001D2970"/>
    <w:rsid w:val="001D300B"/>
    <w:rsid w:val="001E28DB"/>
    <w:rsid w:val="001E570A"/>
    <w:rsid w:val="001F2D04"/>
    <w:rsid w:val="002030E0"/>
    <w:rsid w:val="002235DA"/>
    <w:rsid w:val="00223D9C"/>
    <w:rsid w:val="00240E61"/>
    <w:rsid w:val="00266471"/>
    <w:rsid w:val="002A11DA"/>
    <w:rsid w:val="002A3E05"/>
    <w:rsid w:val="002A44D1"/>
    <w:rsid w:val="002B1C05"/>
    <w:rsid w:val="002C0860"/>
    <w:rsid w:val="002C4988"/>
    <w:rsid w:val="002E0ABB"/>
    <w:rsid w:val="0032785F"/>
    <w:rsid w:val="003338E8"/>
    <w:rsid w:val="00334D45"/>
    <w:rsid w:val="00366091"/>
    <w:rsid w:val="00376F98"/>
    <w:rsid w:val="00387756"/>
    <w:rsid w:val="003B4925"/>
    <w:rsid w:val="003C2288"/>
    <w:rsid w:val="003F6B2B"/>
    <w:rsid w:val="0041066E"/>
    <w:rsid w:val="0043668E"/>
    <w:rsid w:val="0045572C"/>
    <w:rsid w:val="00464F43"/>
    <w:rsid w:val="00475765"/>
    <w:rsid w:val="00492E2F"/>
    <w:rsid w:val="00493346"/>
    <w:rsid w:val="004A70E6"/>
    <w:rsid w:val="004C0D6E"/>
    <w:rsid w:val="004E13C0"/>
    <w:rsid w:val="004E27B1"/>
    <w:rsid w:val="004E35CB"/>
    <w:rsid w:val="004E63A1"/>
    <w:rsid w:val="004E6B7C"/>
    <w:rsid w:val="004F6371"/>
    <w:rsid w:val="0050056F"/>
    <w:rsid w:val="00510571"/>
    <w:rsid w:val="00524C26"/>
    <w:rsid w:val="00527570"/>
    <w:rsid w:val="00552824"/>
    <w:rsid w:val="005562BF"/>
    <w:rsid w:val="005B488C"/>
    <w:rsid w:val="005C2511"/>
    <w:rsid w:val="005C4595"/>
    <w:rsid w:val="005E26C0"/>
    <w:rsid w:val="00600BB1"/>
    <w:rsid w:val="0060155D"/>
    <w:rsid w:val="006053A6"/>
    <w:rsid w:val="00605AB0"/>
    <w:rsid w:val="00611422"/>
    <w:rsid w:val="00612C54"/>
    <w:rsid w:val="00622547"/>
    <w:rsid w:val="00625F81"/>
    <w:rsid w:val="00631DDF"/>
    <w:rsid w:val="00655733"/>
    <w:rsid w:val="00656939"/>
    <w:rsid w:val="00663616"/>
    <w:rsid w:val="0066443A"/>
    <w:rsid w:val="0066553D"/>
    <w:rsid w:val="00671318"/>
    <w:rsid w:val="00673F35"/>
    <w:rsid w:val="0069566D"/>
    <w:rsid w:val="006A2044"/>
    <w:rsid w:val="006A463D"/>
    <w:rsid w:val="006B6628"/>
    <w:rsid w:val="006C1FE1"/>
    <w:rsid w:val="006D2C90"/>
    <w:rsid w:val="006E2FE4"/>
    <w:rsid w:val="006F35F8"/>
    <w:rsid w:val="006F5E60"/>
    <w:rsid w:val="00711268"/>
    <w:rsid w:val="00721BA2"/>
    <w:rsid w:val="00731E7E"/>
    <w:rsid w:val="00742676"/>
    <w:rsid w:val="00751D90"/>
    <w:rsid w:val="00755854"/>
    <w:rsid w:val="00756AD0"/>
    <w:rsid w:val="00783BBA"/>
    <w:rsid w:val="007B3A2E"/>
    <w:rsid w:val="007B5C81"/>
    <w:rsid w:val="007C167E"/>
    <w:rsid w:val="007C38A4"/>
    <w:rsid w:val="007E5703"/>
    <w:rsid w:val="007F01BC"/>
    <w:rsid w:val="007F3CCD"/>
    <w:rsid w:val="00821E13"/>
    <w:rsid w:val="00827905"/>
    <w:rsid w:val="00840016"/>
    <w:rsid w:val="008418C6"/>
    <w:rsid w:val="00854DB5"/>
    <w:rsid w:val="008557DB"/>
    <w:rsid w:val="00885298"/>
    <w:rsid w:val="00894621"/>
    <w:rsid w:val="008A27A6"/>
    <w:rsid w:val="008A4609"/>
    <w:rsid w:val="008A4AF9"/>
    <w:rsid w:val="008B2D3A"/>
    <w:rsid w:val="008C04CB"/>
    <w:rsid w:val="008C1C35"/>
    <w:rsid w:val="008C3250"/>
    <w:rsid w:val="008D1DD4"/>
    <w:rsid w:val="008F1BFE"/>
    <w:rsid w:val="0090056E"/>
    <w:rsid w:val="009018C4"/>
    <w:rsid w:val="00905ED5"/>
    <w:rsid w:val="00951B0A"/>
    <w:rsid w:val="00953DCB"/>
    <w:rsid w:val="00994E27"/>
    <w:rsid w:val="009A00EA"/>
    <w:rsid w:val="009B11C4"/>
    <w:rsid w:val="009B2C8F"/>
    <w:rsid w:val="009B67BF"/>
    <w:rsid w:val="009D4EB9"/>
    <w:rsid w:val="009F2F48"/>
    <w:rsid w:val="009F3467"/>
    <w:rsid w:val="009F3C7E"/>
    <w:rsid w:val="009F515A"/>
    <w:rsid w:val="009F7F5E"/>
    <w:rsid w:val="00A0032C"/>
    <w:rsid w:val="00A007F3"/>
    <w:rsid w:val="00A149ED"/>
    <w:rsid w:val="00A15ED9"/>
    <w:rsid w:val="00A5496D"/>
    <w:rsid w:val="00A65057"/>
    <w:rsid w:val="00A66AE7"/>
    <w:rsid w:val="00A82D03"/>
    <w:rsid w:val="00A90DBC"/>
    <w:rsid w:val="00AA4034"/>
    <w:rsid w:val="00AB14F2"/>
    <w:rsid w:val="00AC790F"/>
    <w:rsid w:val="00AD6776"/>
    <w:rsid w:val="00AF3953"/>
    <w:rsid w:val="00AF4BD9"/>
    <w:rsid w:val="00AF4C78"/>
    <w:rsid w:val="00AF6EB8"/>
    <w:rsid w:val="00B15B6A"/>
    <w:rsid w:val="00B208A2"/>
    <w:rsid w:val="00B3236D"/>
    <w:rsid w:val="00B348DB"/>
    <w:rsid w:val="00B378FD"/>
    <w:rsid w:val="00B47B6B"/>
    <w:rsid w:val="00B53CE2"/>
    <w:rsid w:val="00B55FE4"/>
    <w:rsid w:val="00B66D3F"/>
    <w:rsid w:val="00B84434"/>
    <w:rsid w:val="00B97A13"/>
    <w:rsid w:val="00BB79EC"/>
    <w:rsid w:val="00BB7F73"/>
    <w:rsid w:val="00BF2395"/>
    <w:rsid w:val="00BF2894"/>
    <w:rsid w:val="00C14121"/>
    <w:rsid w:val="00C306CD"/>
    <w:rsid w:val="00C64646"/>
    <w:rsid w:val="00C659C1"/>
    <w:rsid w:val="00C67ACF"/>
    <w:rsid w:val="00C94163"/>
    <w:rsid w:val="00CA0B95"/>
    <w:rsid w:val="00CA4375"/>
    <w:rsid w:val="00CB193A"/>
    <w:rsid w:val="00CC0797"/>
    <w:rsid w:val="00CC4DAB"/>
    <w:rsid w:val="00D008A4"/>
    <w:rsid w:val="00D02A27"/>
    <w:rsid w:val="00D05959"/>
    <w:rsid w:val="00D42EB3"/>
    <w:rsid w:val="00D51B6C"/>
    <w:rsid w:val="00D5781E"/>
    <w:rsid w:val="00D93C12"/>
    <w:rsid w:val="00DA0636"/>
    <w:rsid w:val="00DA2974"/>
    <w:rsid w:val="00DB2E19"/>
    <w:rsid w:val="00DB515D"/>
    <w:rsid w:val="00DB67C3"/>
    <w:rsid w:val="00E003FB"/>
    <w:rsid w:val="00E00C09"/>
    <w:rsid w:val="00E10D23"/>
    <w:rsid w:val="00E12EC6"/>
    <w:rsid w:val="00E249E5"/>
    <w:rsid w:val="00E30069"/>
    <w:rsid w:val="00E313EF"/>
    <w:rsid w:val="00E36EE2"/>
    <w:rsid w:val="00E417D7"/>
    <w:rsid w:val="00E54C71"/>
    <w:rsid w:val="00E55DCC"/>
    <w:rsid w:val="00E640CB"/>
    <w:rsid w:val="00E67EC5"/>
    <w:rsid w:val="00E71019"/>
    <w:rsid w:val="00E905DD"/>
    <w:rsid w:val="00E916DB"/>
    <w:rsid w:val="00EA3076"/>
    <w:rsid w:val="00EB4583"/>
    <w:rsid w:val="00EC06EB"/>
    <w:rsid w:val="00EC1568"/>
    <w:rsid w:val="00EC72F8"/>
    <w:rsid w:val="00EE54A8"/>
    <w:rsid w:val="00EF75D1"/>
    <w:rsid w:val="00F002B1"/>
    <w:rsid w:val="00F149F3"/>
    <w:rsid w:val="00F23EC1"/>
    <w:rsid w:val="00F515FD"/>
    <w:rsid w:val="00F80143"/>
    <w:rsid w:val="00FA1443"/>
    <w:rsid w:val="00FB104A"/>
    <w:rsid w:val="00FB7ECF"/>
    <w:rsid w:val="00FC67E2"/>
    <w:rsid w:val="00FD67FE"/>
    <w:rsid w:val="00FF5A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D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05"/>
    <w:pPr>
      <w:spacing w:after="200"/>
      <w:jc w:val="both"/>
    </w:pPr>
    <w:rPr>
      <w:sz w:val="24"/>
      <w:szCs w:val="24"/>
      <w:lang w:val="en-AU" w:eastAsia="en-US"/>
    </w:rPr>
  </w:style>
  <w:style w:type="paragraph" w:styleId="Heading1">
    <w:name w:val="heading 1"/>
    <w:basedOn w:val="Normal"/>
    <w:next w:val="Normal"/>
    <w:link w:val="Heading1Char"/>
    <w:uiPriority w:val="9"/>
    <w:qFormat/>
    <w:rsid w:val="00B208A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49ED"/>
    <w:pPr>
      <w:keepNext/>
      <w:keepLines/>
      <w:numPr>
        <w:ilvl w:val="1"/>
        <w:numId w:val="2"/>
      </w:numPr>
      <w:spacing w:before="200" w:after="0"/>
      <w:ind w:left="79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2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17D7"/>
    <w:rPr>
      <w:sz w:val="18"/>
    </w:rPr>
  </w:style>
  <w:style w:type="character" w:customStyle="1" w:styleId="FootnoteTextChar">
    <w:name w:val="Footnote Text Char"/>
    <w:basedOn w:val="DefaultParagraphFont"/>
    <w:link w:val="FootnoteText"/>
    <w:rsid w:val="00E417D7"/>
    <w:rPr>
      <w:sz w:val="18"/>
      <w:szCs w:val="24"/>
      <w:lang w:val="en-NZ" w:eastAsia="en-GB"/>
    </w:rPr>
  </w:style>
  <w:style w:type="paragraph" w:styleId="Bibliography">
    <w:name w:val="Bibliography"/>
    <w:basedOn w:val="Normal"/>
    <w:next w:val="Normal"/>
    <w:uiPriority w:val="37"/>
    <w:unhideWhenUsed/>
    <w:rsid w:val="000C5623"/>
    <w:pPr>
      <w:spacing w:after="100"/>
    </w:pPr>
    <w:rPr>
      <w:sz w:val="20"/>
    </w:rPr>
  </w:style>
  <w:style w:type="paragraph" w:styleId="TOC2">
    <w:name w:val="toc 2"/>
    <w:basedOn w:val="Normal"/>
    <w:next w:val="Normal"/>
    <w:uiPriority w:val="39"/>
    <w:unhideWhenUsed/>
    <w:rsid w:val="00E54C71"/>
    <w:pPr>
      <w:spacing w:before="200"/>
      <w:ind w:left="238"/>
    </w:pPr>
    <w:rPr>
      <w:rFonts w:ascii="Cambria" w:eastAsia="Cambria" w:hAnsi="Cambria"/>
      <w:szCs w:val="20"/>
    </w:rPr>
  </w:style>
  <w:style w:type="paragraph" w:styleId="TOC3">
    <w:name w:val="toc 3"/>
    <w:basedOn w:val="Normal"/>
    <w:next w:val="Normal"/>
    <w:uiPriority w:val="39"/>
    <w:unhideWhenUsed/>
    <w:rsid w:val="00E54C71"/>
    <w:pPr>
      <w:spacing w:after="0"/>
      <w:ind w:left="482"/>
    </w:pPr>
    <w:rPr>
      <w:rFonts w:ascii="Cambria" w:eastAsia="Cambria" w:hAnsi="Cambria"/>
      <w:szCs w:val="20"/>
    </w:rPr>
  </w:style>
  <w:style w:type="paragraph" w:styleId="Title">
    <w:name w:val="Title"/>
    <w:basedOn w:val="Normal"/>
    <w:next w:val="Normal"/>
    <w:link w:val="TitleChar"/>
    <w:uiPriority w:val="10"/>
    <w:qFormat/>
    <w:rsid w:val="00EF7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5D1"/>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Heading1Char">
    <w:name w:val="Heading 1 Char"/>
    <w:basedOn w:val="DefaultParagraphFont"/>
    <w:link w:val="Heading1"/>
    <w:uiPriority w:val="9"/>
    <w:rsid w:val="00B208A2"/>
    <w:rPr>
      <w:rFonts w:asciiTheme="majorHAnsi" w:eastAsiaTheme="majorEastAsia" w:hAnsiTheme="majorHAnsi" w:cstheme="majorBidi"/>
      <w:b/>
      <w:bCs/>
      <w:color w:val="345A8A" w:themeColor="accent1" w:themeShade="B5"/>
      <w:sz w:val="32"/>
      <w:szCs w:val="32"/>
      <w:lang w:val="en-AU" w:eastAsia="en-US"/>
    </w:rPr>
  </w:style>
  <w:style w:type="paragraph" w:styleId="ListParagraph">
    <w:name w:val="List Paragraph"/>
    <w:basedOn w:val="Normal"/>
    <w:uiPriority w:val="34"/>
    <w:qFormat/>
    <w:rsid w:val="008F1BFE"/>
    <w:pPr>
      <w:ind w:left="720"/>
      <w:contextualSpacing/>
    </w:pPr>
  </w:style>
  <w:style w:type="character" w:customStyle="1" w:styleId="Heading2Char">
    <w:name w:val="Heading 2 Char"/>
    <w:basedOn w:val="DefaultParagraphFont"/>
    <w:link w:val="Heading2"/>
    <w:uiPriority w:val="9"/>
    <w:rsid w:val="00A149ED"/>
    <w:rPr>
      <w:rFonts w:asciiTheme="majorHAnsi" w:eastAsiaTheme="majorEastAsia" w:hAnsiTheme="majorHAnsi" w:cstheme="majorBidi"/>
      <w:b/>
      <w:bCs/>
      <w:color w:val="4F81BD" w:themeColor="accent1"/>
      <w:sz w:val="26"/>
      <w:szCs w:val="26"/>
      <w:lang w:val="en-AU" w:eastAsia="en-US"/>
    </w:rPr>
  </w:style>
  <w:style w:type="character" w:customStyle="1" w:styleId="Heading3Char">
    <w:name w:val="Heading 3 Char"/>
    <w:basedOn w:val="DefaultParagraphFont"/>
    <w:link w:val="Heading3"/>
    <w:uiPriority w:val="9"/>
    <w:rsid w:val="006E2FE4"/>
    <w:rPr>
      <w:rFonts w:asciiTheme="majorHAnsi" w:eastAsiaTheme="majorEastAsia" w:hAnsiTheme="majorHAnsi" w:cstheme="majorBidi"/>
      <w:b/>
      <w:bCs/>
      <w:color w:val="4F81BD" w:themeColor="accent1"/>
      <w:sz w:val="24"/>
      <w:szCs w:val="24"/>
      <w:lang w:val="en-AU" w:eastAsia="en-US"/>
    </w:rPr>
  </w:style>
  <w:style w:type="paragraph" w:styleId="Header">
    <w:name w:val="header"/>
    <w:basedOn w:val="Normal"/>
    <w:link w:val="HeaderChar"/>
    <w:uiPriority w:val="99"/>
    <w:unhideWhenUsed/>
    <w:rsid w:val="00AD6776"/>
    <w:pPr>
      <w:tabs>
        <w:tab w:val="center" w:pos="4320"/>
        <w:tab w:val="right" w:pos="8640"/>
      </w:tabs>
      <w:spacing w:after="0"/>
    </w:pPr>
  </w:style>
  <w:style w:type="character" w:customStyle="1" w:styleId="HeaderChar">
    <w:name w:val="Header Char"/>
    <w:basedOn w:val="DefaultParagraphFont"/>
    <w:link w:val="Header"/>
    <w:uiPriority w:val="99"/>
    <w:rsid w:val="00AD6776"/>
    <w:rPr>
      <w:sz w:val="24"/>
      <w:szCs w:val="24"/>
      <w:lang w:val="en-AU" w:eastAsia="en-US"/>
    </w:rPr>
  </w:style>
  <w:style w:type="paragraph" w:styleId="Footer">
    <w:name w:val="footer"/>
    <w:basedOn w:val="Normal"/>
    <w:link w:val="FooterChar"/>
    <w:uiPriority w:val="99"/>
    <w:unhideWhenUsed/>
    <w:rsid w:val="00AD6776"/>
    <w:pPr>
      <w:tabs>
        <w:tab w:val="center" w:pos="4320"/>
        <w:tab w:val="right" w:pos="8640"/>
      </w:tabs>
      <w:spacing w:after="0"/>
    </w:pPr>
  </w:style>
  <w:style w:type="character" w:customStyle="1" w:styleId="FooterChar">
    <w:name w:val="Footer Char"/>
    <w:basedOn w:val="DefaultParagraphFont"/>
    <w:link w:val="Footer"/>
    <w:uiPriority w:val="99"/>
    <w:rsid w:val="00AD6776"/>
    <w:rPr>
      <w:sz w:val="24"/>
      <w:szCs w:val="24"/>
      <w:lang w:val="en-AU" w:eastAsia="en-US"/>
    </w:rPr>
  </w:style>
  <w:style w:type="character" w:styleId="PageNumber">
    <w:name w:val="page number"/>
    <w:basedOn w:val="DefaultParagraphFont"/>
    <w:uiPriority w:val="99"/>
    <w:semiHidden/>
    <w:unhideWhenUsed/>
    <w:rsid w:val="00AD6776"/>
  </w:style>
  <w:style w:type="character" w:styleId="FootnoteReference">
    <w:name w:val="footnote reference"/>
    <w:basedOn w:val="DefaultParagraphFont"/>
    <w:uiPriority w:val="99"/>
    <w:unhideWhenUsed/>
    <w:rsid w:val="00622547"/>
    <w:rPr>
      <w:vertAlign w:val="superscript"/>
    </w:rPr>
  </w:style>
  <w:style w:type="character" w:styleId="Hyperlink">
    <w:name w:val="Hyperlink"/>
    <w:basedOn w:val="DefaultParagraphFont"/>
    <w:uiPriority w:val="99"/>
    <w:unhideWhenUsed/>
    <w:rsid w:val="00A15ED9"/>
    <w:rPr>
      <w:color w:val="0000FF" w:themeColor="hyperlink"/>
      <w:u w:val="single"/>
    </w:rPr>
  </w:style>
  <w:style w:type="paragraph" w:styleId="BalloonText">
    <w:name w:val="Balloon Text"/>
    <w:basedOn w:val="Normal"/>
    <w:link w:val="BalloonTextChar"/>
    <w:uiPriority w:val="99"/>
    <w:semiHidden/>
    <w:unhideWhenUsed/>
    <w:rsid w:val="005B48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88C"/>
    <w:rPr>
      <w:rFonts w:ascii="Lucida Grande" w:hAnsi="Lucida Grande" w:cs="Lucida Grande"/>
      <w:sz w:val="18"/>
      <w:szCs w:val="18"/>
      <w:lang w:val="en-AU" w:eastAsia="en-US"/>
    </w:rPr>
  </w:style>
  <w:style w:type="paragraph" w:customStyle="1" w:styleId="Default">
    <w:name w:val="Default"/>
    <w:rsid w:val="009F3C7E"/>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05"/>
    <w:pPr>
      <w:spacing w:after="200"/>
      <w:jc w:val="both"/>
    </w:pPr>
    <w:rPr>
      <w:sz w:val="24"/>
      <w:szCs w:val="24"/>
      <w:lang w:val="en-AU" w:eastAsia="en-US"/>
    </w:rPr>
  </w:style>
  <w:style w:type="paragraph" w:styleId="Heading1">
    <w:name w:val="heading 1"/>
    <w:basedOn w:val="Normal"/>
    <w:next w:val="Normal"/>
    <w:link w:val="Heading1Char"/>
    <w:uiPriority w:val="9"/>
    <w:qFormat/>
    <w:rsid w:val="00B208A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149ED"/>
    <w:pPr>
      <w:keepNext/>
      <w:keepLines/>
      <w:numPr>
        <w:ilvl w:val="1"/>
        <w:numId w:val="2"/>
      </w:numPr>
      <w:spacing w:before="200" w:after="0"/>
      <w:ind w:left="79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2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17D7"/>
    <w:rPr>
      <w:sz w:val="18"/>
    </w:rPr>
  </w:style>
  <w:style w:type="character" w:customStyle="1" w:styleId="FootnoteTextChar">
    <w:name w:val="Footnote Text Char"/>
    <w:basedOn w:val="DefaultParagraphFont"/>
    <w:link w:val="FootnoteText"/>
    <w:rsid w:val="00E417D7"/>
    <w:rPr>
      <w:sz w:val="18"/>
      <w:szCs w:val="24"/>
      <w:lang w:val="en-NZ" w:eastAsia="en-GB"/>
    </w:rPr>
  </w:style>
  <w:style w:type="paragraph" w:styleId="Bibliography">
    <w:name w:val="Bibliography"/>
    <w:basedOn w:val="Normal"/>
    <w:next w:val="Normal"/>
    <w:uiPriority w:val="37"/>
    <w:unhideWhenUsed/>
    <w:rsid w:val="000C5623"/>
    <w:pPr>
      <w:spacing w:after="100"/>
    </w:pPr>
    <w:rPr>
      <w:sz w:val="20"/>
    </w:rPr>
  </w:style>
  <w:style w:type="paragraph" w:styleId="TOC2">
    <w:name w:val="toc 2"/>
    <w:basedOn w:val="Normal"/>
    <w:next w:val="Normal"/>
    <w:uiPriority w:val="39"/>
    <w:unhideWhenUsed/>
    <w:rsid w:val="00E54C71"/>
    <w:pPr>
      <w:spacing w:before="200"/>
      <w:ind w:left="238"/>
    </w:pPr>
    <w:rPr>
      <w:rFonts w:ascii="Cambria" w:eastAsia="Cambria" w:hAnsi="Cambria"/>
      <w:szCs w:val="20"/>
    </w:rPr>
  </w:style>
  <w:style w:type="paragraph" w:styleId="TOC3">
    <w:name w:val="toc 3"/>
    <w:basedOn w:val="Normal"/>
    <w:next w:val="Normal"/>
    <w:uiPriority w:val="39"/>
    <w:unhideWhenUsed/>
    <w:rsid w:val="00E54C71"/>
    <w:pPr>
      <w:spacing w:after="0"/>
      <w:ind w:left="482"/>
    </w:pPr>
    <w:rPr>
      <w:rFonts w:ascii="Cambria" w:eastAsia="Cambria" w:hAnsi="Cambria"/>
      <w:szCs w:val="20"/>
    </w:rPr>
  </w:style>
  <w:style w:type="paragraph" w:styleId="Title">
    <w:name w:val="Title"/>
    <w:basedOn w:val="Normal"/>
    <w:next w:val="Normal"/>
    <w:link w:val="TitleChar"/>
    <w:uiPriority w:val="10"/>
    <w:qFormat/>
    <w:rsid w:val="00EF7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5D1"/>
    <w:rPr>
      <w:rFonts w:asciiTheme="majorHAnsi" w:eastAsiaTheme="majorEastAsia" w:hAnsiTheme="majorHAnsi" w:cstheme="majorBidi"/>
      <w:color w:val="17365D" w:themeColor="text2" w:themeShade="BF"/>
      <w:spacing w:val="5"/>
      <w:kern w:val="28"/>
      <w:sz w:val="52"/>
      <w:szCs w:val="52"/>
      <w:lang w:val="en-AU" w:eastAsia="en-US"/>
    </w:rPr>
  </w:style>
  <w:style w:type="character" w:customStyle="1" w:styleId="Heading1Char">
    <w:name w:val="Heading 1 Char"/>
    <w:basedOn w:val="DefaultParagraphFont"/>
    <w:link w:val="Heading1"/>
    <w:uiPriority w:val="9"/>
    <w:rsid w:val="00B208A2"/>
    <w:rPr>
      <w:rFonts w:asciiTheme="majorHAnsi" w:eastAsiaTheme="majorEastAsia" w:hAnsiTheme="majorHAnsi" w:cstheme="majorBidi"/>
      <w:b/>
      <w:bCs/>
      <w:color w:val="345A8A" w:themeColor="accent1" w:themeShade="B5"/>
      <w:sz w:val="32"/>
      <w:szCs w:val="32"/>
      <w:lang w:val="en-AU" w:eastAsia="en-US"/>
    </w:rPr>
  </w:style>
  <w:style w:type="paragraph" w:styleId="ListParagraph">
    <w:name w:val="List Paragraph"/>
    <w:basedOn w:val="Normal"/>
    <w:uiPriority w:val="34"/>
    <w:qFormat/>
    <w:rsid w:val="008F1BFE"/>
    <w:pPr>
      <w:ind w:left="720"/>
      <w:contextualSpacing/>
    </w:pPr>
  </w:style>
  <w:style w:type="character" w:customStyle="1" w:styleId="Heading2Char">
    <w:name w:val="Heading 2 Char"/>
    <w:basedOn w:val="DefaultParagraphFont"/>
    <w:link w:val="Heading2"/>
    <w:uiPriority w:val="9"/>
    <w:rsid w:val="00A149ED"/>
    <w:rPr>
      <w:rFonts w:asciiTheme="majorHAnsi" w:eastAsiaTheme="majorEastAsia" w:hAnsiTheme="majorHAnsi" w:cstheme="majorBidi"/>
      <w:b/>
      <w:bCs/>
      <w:color w:val="4F81BD" w:themeColor="accent1"/>
      <w:sz w:val="26"/>
      <w:szCs w:val="26"/>
      <w:lang w:val="en-AU" w:eastAsia="en-US"/>
    </w:rPr>
  </w:style>
  <w:style w:type="character" w:customStyle="1" w:styleId="Heading3Char">
    <w:name w:val="Heading 3 Char"/>
    <w:basedOn w:val="DefaultParagraphFont"/>
    <w:link w:val="Heading3"/>
    <w:uiPriority w:val="9"/>
    <w:rsid w:val="006E2FE4"/>
    <w:rPr>
      <w:rFonts w:asciiTheme="majorHAnsi" w:eastAsiaTheme="majorEastAsia" w:hAnsiTheme="majorHAnsi" w:cstheme="majorBidi"/>
      <w:b/>
      <w:bCs/>
      <w:color w:val="4F81BD" w:themeColor="accent1"/>
      <w:sz w:val="24"/>
      <w:szCs w:val="24"/>
      <w:lang w:val="en-AU" w:eastAsia="en-US"/>
    </w:rPr>
  </w:style>
  <w:style w:type="paragraph" w:styleId="Header">
    <w:name w:val="header"/>
    <w:basedOn w:val="Normal"/>
    <w:link w:val="HeaderChar"/>
    <w:uiPriority w:val="99"/>
    <w:unhideWhenUsed/>
    <w:rsid w:val="00AD6776"/>
    <w:pPr>
      <w:tabs>
        <w:tab w:val="center" w:pos="4320"/>
        <w:tab w:val="right" w:pos="8640"/>
      </w:tabs>
      <w:spacing w:after="0"/>
    </w:pPr>
  </w:style>
  <w:style w:type="character" w:customStyle="1" w:styleId="HeaderChar">
    <w:name w:val="Header Char"/>
    <w:basedOn w:val="DefaultParagraphFont"/>
    <w:link w:val="Header"/>
    <w:uiPriority w:val="99"/>
    <w:rsid w:val="00AD6776"/>
    <w:rPr>
      <w:sz w:val="24"/>
      <w:szCs w:val="24"/>
      <w:lang w:val="en-AU" w:eastAsia="en-US"/>
    </w:rPr>
  </w:style>
  <w:style w:type="paragraph" w:styleId="Footer">
    <w:name w:val="footer"/>
    <w:basedOn w:val="Normal"/>
    <w:link w:val="FooterChar"/>
    <w:uiPriority w:val="99"/>
    <w:unhideWhenUsed/>
    <w:rsid w:val="00AD6776"/>
    <w:pPr>
      <w:tabs>
        <w:tab w:val="center" w:pos="4320"/>
        <w:tab w:val="right" w:pos="8640"/>
      </w:tabs>
      <w:spacing w:after="0"/>
    </w:pPr>
  </w:style>
  <w:style w:type="character" w:customStyle="1" w:styleId="FooterChar">
    <w:name w:val="Footer Char"/>
    <w:basedOn w:val="DefaultParagraphFont"/>
    <w:link w:val="Footer"/>
    <w:uiPriority w:val="99"/>
    <w:rsid w:val="00AD6776"/>
    <w:rPr>
      <w:sz w:val="24"/>
      <w:szCs w:val="24"/>
      <w:lang w:val="en-AU" w:eastAsia="en-US"/>
    </w:rPr>
  </w:style>
  <w:style w:type="character" w:styleId="PageNumber">
    <w:name w:val="page number"/>
    <w:basedOn w:val="DefaultParagraphFont"/>
    <w:uiPriority w:val="99"/>
    <w:semiHidden/>
    <w:unhideWhenUsed/>
    <w:rsid w:val="00AD6776"/>
  </w:style>
  <w:style w:type="character" w:styleId="FootnoteReference">
    <w:name w:val="footnote reference"/>
    <w:basedOn w:val="DefaultParagraphFont"/>
    <w:uiPriority w:val="99"/>
    <w:unhideWhenUsed/>
    <w:rsid w:val="00622547"/>
    <w:rPr>
      <w:vertAlign w:val="superscript"/>
    </w:rPr>
  </w:style>
  <w:style w:type="character" w:styleId="Hyperlink">
    <w:name w:val="Hyperlink"/>
    <w:basedOn w:val="DefaultParagraphFont"/>
    <w:uiPriority w:val="99"/>
    <w:unhideWhenUsed/>
    <w:rsid w:val="00A15ED9"/>
    <w:rPr>
      <w:color w:val="0000FF" w:themeColor="hyperlink"/>
      <w:u w:val="single"/>
    </w:rPr>
  </w:style>
  <w:style w:type="paragraph" w:styleId="BalloonText">
    <w:name w:val="Balloon Text"/>
    <w:basedOn w:val="Normal"/>
    <w:link w:val="BalloonTextChar"/>
    <w:uiPriority w:val="99"/>
    <w:semiHidden/>
    <w:unhideWhenUsed/>
    <w:rsid w:val="005B48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88C"/>
    <w:rPr>
      <w:rFonts w:ascii="Lucida Grande" w:hAnsi="Lucida Grande" w:cs="Lucida Grande"/>
      <w:sz w:val="18"/>
      <w:szCs w:val="18"/>
      <w:lang w:val="en-AU" w:eastAsia="en-US"/>
    </w:rPr>
  </w:style>
  <w:style w:type="paragraph" w:customStyle="1" w:styleId="Default">
    <w:name w:val="Default"/>
    <w:rsid w:val="009F3C7E"/>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01733">
      <w:bodyDiv w:val="1"/>
      <w:marLeft w:val="0"/>
      <w:marRight w:val="0"/>
      <w:marTop w:val="0"/>
      <w:marBottom w:val="0"/>
      <w:divBdr>
        <w:top w:val="none" w:sz="0" w:space="0" w:color="auto"/>
        <w:left w:val="none" w:sz="0" w:space="0" w:color="auto"/>
        <w:bottom w:val="none" w:sz="0" w:space="0" w:color="auto"/>
        <w:right w:val="none" w:sz="0" w:space="0" w:color="auto"/>
      </w:divBdr>
      <w:divsChild>
        <w:div w:id="240451748">
          <w:marLeft w:val="1166"/>
          <w:marRight w:val="0"/>
          <w:marTop w:val="125"/>
          <w:marBottom w:val="0"/>
          <w:divBdr>
            <w:top w:val="none" w:sz="0" w:space="0" w:color="auto"/>
            <w:left w:val="none" w:sz="0" w:space="0" w:color="auto"/>
            <w:bottom w:val="none" w:sz="0" w:space="0" w:color="auto"/>
            <w:right w:val="none" w:sz="0" w:space="0" w:color="auto"/>
          </w:divBdr>
        </w:div>
      </w:divsChild>
    </w:div>
    <w:div w:id="774859288">
      <w:bodyDiv w:val="1"/>
      <w:marLeft w:val="0"/>
      <w:marRight w:val="0"/>
      <w:marTop w:val="0"/>
      <w:marBottom w:val="0"/>
      <w:divBdr>
        <w:top w:val="none" w:sz="0" w:space="0" w:color="auto"/>
        <w:left w:val="none" w:sz="0" w:space="0" w:color="auto"/>
        <w:bottom w:val="none" w:sz="0" w:space="0" w:color="auto"/>
        <w:right w:val="none" w:sz="0" w:space="0" w:color="auto"/>
      </w:divBdr>
    </w:div>
    <w:div w:id="1208688586">
      <w:bodyDiv w:val="1"/>
      <w:marLeft w:val="0"/>
      <w:marRight w:val="0"/>
      <w:marTop w:val="0"/>
      <w:marBottom w:val="0"/>
      <w:divBdr>
        <w:top w:val="none" w:sz="0" w:space="0" w:color="auto"/>
        <w:left w:val="none" w:sz="0" w:space="0" w:color="auto"/>
        <w:bottom w:val="none" w:sz="0" w:space="0" w:color="auto"/>
        <w:right w:val="none" w:sz="0" w:space="0" w:color="auto"/>
      </w:divBdr>
      <w:divsChild>
        <w:div w:id="109670183">
          <w:marLeft w:val="1166"/>
          <w:marRight w:val="0"/>
          <w:marTop w:val="125"/>
          <w:marBottom w:val="0"/>
          <w:divBdr>
            <w:top w:val="none" w:sz="0" w:space="0" w:color="auto"/>
            <w:left w:val="none" w:sz="0" w:space="0" w:color="auto"/>
            <w:bottom w:val="none" w:sz="0" w:space="0" w:color="auto"/>
            <w:right w:val="none" w:sz="0" w:space="0" w:color="auto"/>
          </w:divBdr>
        </w:div>
      </w:divsChild>
    </w:div>
    <w:div w:id="1839542318">
      <w:bodyDiv w:val="1"/>
      <w:marLeft w:val="0"/>
      <w:marRight w:val="0"/>
      <w:marTop w:val="0"/>
      <w:marBottom w:val="0"/>
      <w:divBdr>
        <w:top w:val="none" w:sz="0" w:space="0" w:color="auto"/>
        <w:left w:val="none" w:sz="0" w:space="0" w:color="auto"/>
        <w:bottom w:val="none" w:sz="0" w:space="0" w:color="auto"/>
        <w:right w:val="none" w:sz="0" w:space="0" w:color="auto"/>
      </w:divBdr>
      <w:divsChild>
        <w:div w:id="1359576269">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dpr-info.eu/art-19-gdpr/" TargetMode="External"/><Relationship Id="rId12" Type="http://schemas.openxmlformats.org/officeDocument/2006/relationships/hyperlink" Target="https://gdpr-info.eu/art-20-gdpr/" TargetMode="External"/><Relationship Id="rId13" Type="http://schemas.openxmlformats.org/officeDocument/2006/relationships/hyperlink" Target="https://gdpr-info.eu/art-21-gdp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dpr-info.eu/art-15-gdpr/" TargetMode="External"/><Relationship Id="rId9" Type="http://schemas.openxmlformats.org/officeDocument/2006/relationships/hyperlink" Target="https://gdpr-info.eu/art-16-gdpr/" TargetMode="External"/><Relationship Id="rId10" Type="http://schemas.openxmlformats.org/officeDocument/2006/relationships/hyperlink" Target="https://gdpr-info.eu/art-18-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3052</Words>
  <Characters>17310</Characters>
  <Application>Microsoft Macintosh Word</Application>
  <DocSecurity>0</DocSecurity>
  <Lines>293</Lines>
  <Paragraphs>126</Paragraphs>
  <ScaleCrop>false</ScaleCrop>
  <Company>UNSW</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Greenleaf</dc:creator>
  <cp:keywords/>
  <dc:description/>
  <cp:lastModifiedBy>Graham Greenleaf</cp:lastModifiedBy>
  <cp:revision>3</cp:revision>
  <cp:lastPrinted>2020-01-12T23:40:00Z</cp:lastPrinted>
  <dcterms:created xsi:type="dcterms:W3CDTF">2020-01-12T23:39:00Z</dcterms:created>
  <dcterms:modified xsi:type="dcterms:W3CDTF">2020-01-12T23:48:00Z</dcterms:modified>
</cp:coreProperties>
</file>